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79" w:rsidRPr="00C9724A" w:rsidRDefault="00C15079" w:rsidP="00C15079">
      <w:pPr>
        <w:pStyle w:val="Tytu"/>
        <w:ind w:left="4536"/>
        <w:jc w:val="left"/>
        <w:rPr>
          <w:b w:val="0"/>
          <w:i/>
          <w:sz w:val="22"/>
          <w:szCs w:val="18"/>
        </w:rPr>
      </w:pPr>
      <w:r w:rsidRPr="00C9724A">
        <w:rPr>
          <w:b w:val="0"/>
          <w:i/>
          <w:sz w:val="22"/>
          <w:szCs w:val="18"/>
        </w:rPr>
        <w:t>Załącznik do Uchwały nr</w:t>
      </w:r>
      <w:r w:rsidR="00A64595" w:rsidRPr="00C9724A">
        <w:rPr>
          <w:b w:val="0"/>
          <w:i/>
          <w:sz w:val="22"/>
          <w:szCs w:val="18"/>
        </w:rPr>
        <w:t xml:space="preserve"> </w:t>
      </w:r>
      <w:r w:rsidR="00EA6B9F" w:rsidRPr="00C9724A">
        <w:rPr>
          <w:b w:val="0"/>
          <w:i/>
          <w:sz w:val="22"/>
          <w:szCs w:val="18"/>
        </w:rPr>
        <w:t>23</w:t>
      </w:r>
      <w:r w:rsidR="00D7081C" w:rsidRPr="00C9724A">
        <w:rPr>
          <w:b w:val="0"/>
          <w:i/>
          <w:sz w:val="22"/>
          <w:szCs w:val="18"/>
        </w:rPr>
        <w:t>/2022</w:t>
      </w:r>
    </w:p>
    <w:p w:rsidR="00C15079" w:rsidRPr="00C9724A" w:rsidRDefault="00C15079" w:rsidP="00C15079">
      <w:pPr>
        <w:pStyle w:val="Tytu"/>
        <w:ind w:left="4536"/>
        <w:jc w:val="left"/>
        <w:rPr>
          <w:b w:val="0"/>
          <w:i/>
          <w:sz w:val="22"/>
          <w:szCs w:val="18"/>
        </w:rPr>
      </w:pPr>
      <w:r w:rsidRPr="00C9724A">
        <w:rPr>
          <w:b w:val="0"/>
          <w:i/>
          <w:sz w:val="22"/>
          <w:szCs w:val="18"/>
        </w:rPr>
        <w:t xml:space="preserve">Zarząd </w:t>
      </w:r>
      <w:r w:rsidR="00150AB3" w:rsidRPr="00C9724A">
        <w:rPr>
          <w:b w:val="0"/>
          <w:i/>
          <w:sz w:val="22"/>
          <w:szCs w:val="18"/>
        </w:rPr>
        <w:t>Banku Spółdzielczego w Kamiennej Górze</w:t>
      </w:r>
    </w:p>
    <w:p w:rsidR="00C15079" w:rsidRPr="00C9724A" w:rsidRDefault="00D7081C" w:rsidP="00C15079">
      <w:pPr>
        <w:pStyle w:val="Tytu"/>
        <w:ind w:left="4536"/>
        <w:jc w:val="left"/>
        <w:rPr>
          <w:b w:val="0"/>
          <w:i/>
          <w:sz w:val="22"/>
          <w:szCs w:val="18"/>
        </w:rPr>
      </w:pPr>
      <w:r w:rsidRPr="00C9724A">
        <w:rPr>
          <w:b w:val="0"/>
          <w:i/>
          <w:sz w:val="22"/>
          <w:szCs w:val="18"/>
        </w:rPr>
        <w:t xml:space="preserve">z dnia </w:t>
      </w:r>
      <w:r w:rsidR="00EA6B9F" w:rsidRPr="00C9724A">
        <w:rPr>
          <w:b w:val="0"/>
          <w:i/>
          <w:sz w:val="22"/>
          <w:szCs w:val="18"/>
        </w:rPr>
        <w:t>16.02.2022</w:t>
      </w:r>
      <w:r w:rsidR="001D15CB" w:rsidRPr="00C9724A">
        <w:rPr>
          <w:b w:val="0"/>
          <w:i/>
          <w:sz w:val="22"/>
          <w:szCs w:val="18"/>
        </w:rPr>
        <w:t xml:space="preserve"> </w:t>
      </w:r>
      <w:r w:rsidR="00C15079" w:rsidRPr="00C9724A">
        <w:rPr>
          <w:b w:val="0"/>
          <w:i/>
          <w:sz w:val="22"/>
          <w:szCs w:val="18"/>
        </w:rPr>
        <w:t>r.</w:t>
      </w:r>
    </w:p>
    <w:p w:rsidR="00866D5A" w:rsidRPr="00C9724A" w:rsidRDefault="00866D5A" w:rsidP="00C15079">
      <w:pPr>
        <w:pStyle w:val="Tytu"/>
        <w:ind w:left="4536"/>
        <w:jc w:val="left"/>
        <w:rPr>
          <w:b w:val="0"/>
          <w:i/>
          <w:sz w:val="22"/>
          <w:szCs w:val="18"/>
        </w:rPr>
      </w:pPr>
    </w:p>
    <w:p w:rsidR="00866D5A" w:rsidRPr="00C9724A" w:rsidRDefault="00D7081C" w:rsidP="00C15079">
      <w:pPr>
        <w:pStyle w:val="Tytu"/>
        <w:ind w:left="4536"/>
        <w:jc w:val="left"/>
        <w:rPr>
          <w:b w:val="0"/>
          <w:i/>
          <w:sz w:val="22"/>
          <w:szCs w:val="18"/>
        </w:rPr>
      </w:pPr>
      <w:r w:rsidRPr="00C9724A">
        <w:rPr>
          <w:b w:val="0"/>
          <w:i/>
          <w:sz w:val="22"/>
          <w:szCs w:val="18"/>
        </w:rPr>
        <w:t>Załącznik do Uchwały nr</w:t>
      </w:r>
      <w:r w:rsidR="00EA6B9F" w:rsidRPr="00C9724A">
        <w:rPr>
          <w:b w:val="0"/>
          <w:i/>
          <w:sz w:val="22"/>
          <w:szCs w:val="18"/>
        </w:rPr>
        <w:t>18</w:t>
      </w:r>
      <w:r w:rsidRPr="00C9724A">
        <w:rPr>
          <w:b w:val="0"/>
          <w:i/>
          <w:sz w:val="22"/>
          <w:szCs w:val="18"/>
        </w:rPr>
        <w:t>/2022</w:t>
      </w:r>
    </w:p>
    <w:p w:rsidR="00866D5A" w:rsidRPr="00C9724A" w:rsidRDefault="00866D5A" w:rsidP="00C15079">
      <w:pPr>
        <w:pStyle w:val="Tytu"/>
        <w:ind w:left="4536"/>
        <w:jc w:val="left"/>
        <w:rPr>
          <w:b w:val="0"/>
          <w:i/>
          <w:sz w:val="22"/>
          <w:szCs w:val="18"/>
        </w:rPr>
      </w:pPr>
      <w:r w:rsidRPr="00C9724A">
        <w:rPr>
          <w:b w:val="0"/>
          <w:i/>
          <w:sz w:val="22"/>
          <w:szCs w:val="18"/>
        </w:rPr>
        <w:t>Rady Nadzorczej Banku Spółdzielczego w K</w:t>
      </w:r>
      <w:r w:rsidR="00D7081C" w:rsidRPr="00C9724A">
        <w:rPr>
          <w:b w:val="0"/>
          <w:i/>
          <w:sz w:val="22"/>
          <w:szCs w:val="18"/>
        </w:rPr>
        <w:t>amiennej Górze z dnia</w:t>
      </w:r>
      <w:r w:rsidR="00EA6B9F" w:rsidRPr="00C9724A">
        <w:rPr>
          <w:b w:val="0"/>
          <w:i/>
          <w:sz w:val="22"/>
          <w:szCs w:val="18"/>
        </w:rPr>
        <w:t xml:space="preserve"> 25.02.2022</w:t>
      </w:r>
      <w:r w:rsidRPr="00C9724A">
        <w:rPr>
          <w:b w:val="0"/>
          <w:i/>
          <w:sz w:val="22"/>
          <w:szCs w:val="18"/>
        </w:rPr>
        <w:t xml:space="preserve"> r.</w:t>
      </w:r>
    </w:p>
    <w:p w:rsidR="00C15079" w:rsidRPr="00C9724A" w:rsidRDefault="00C15079" w:rsidP="00C15079">
      <w:pPr>
        <w:pStyle w:val="Tytu"/>
        <w:ind w:left="4536"/>
        <w:jc w:val="left"/>
        <w:rPr>
          <w:i/>
          <w:sz w:val="22"/>
          <w:szCs w:val="18"/>
        </w:rPr>
      </w:pPr>
    </w:p>
    <w:p w:rsidR="00D2684F" w:rsidRPr="00C9724A" w:rsidRDefault="00D2684F" w:rsidP="00D2684F">
      <w:pPr>
        <w:pStyle w:val="Tytu"/>
        <w:ind w:left="4536"/>
        <w:jc w:val="left"/>
        <w:rPr>
          <w:i/>
          <w:sz w:val="22"/>
          <w:szCs w:val="18"/>
        </w:rPr>
      </w:pPr>
    </w:p>
    <w:p w:rsidR="006568BF" w:rsidRPr="00C9724A" w:rsidRDefault="006568BF" w:rsidP="002016B4">
      <w:pPr>
        <w:tabs>
          <w:tab w:val="left" w:pos="6154"/>
        </w:tabs>
        <w:spacing w:line="360" w:lineRule="auto"/>
        <w:ind w:left="4344"/>
      </w:pPr>
    </w:p>
    <w:p w:rsidR="00D2684F" w:rsidRPr="00C9724A" w:rsidRDefault="00D2684F" w:rsidP="002016B4">
      <w:pPr>
        <w:tabs>
          <w:tab w:val="left" w:pos="6154"/>
        </w:tabs>
        <w:spacing w:line="360" w:lineRule="auto"/>
        <w:ind w:left="4344"/>
      </w:pPr>
    </w:p>
    <w:p w:rsidR="00D2684F" w:rsidRPr="00C9724A" w:rsidRDefault="00D2684F" w:rsidP="002016B4">
      <w:pPr>
        <w:tabs>
          <w:tab w:val="left" w:pos="6154"/>
        </w:tabs>
        <w:spacing w:line="360" w:lineRule="auto"/>
        <w:ind w:left="4344"/>
      </w:pPr>
    </w:p>
    <w:p w:rsidR="006568BF" w:rsidRPr="00C9724A" w:rsidRDefault="006568BF" w:rsidP="00866D5A">
      <w:pPr>
        <w:tabs>
          <w:tab w:val="left" w:pos="6154"/>
        </w:tabs>
        <w:spacing w:line="360" w:lineRule="auto"/>
      </w:pPr>
    </w:p>
    <w:p w:rsidR="00866D5A" w:rsidRPr="00C9724A" w:rsidRDefault="00866D5A" w:rsidP="00866D5A">
      <w:pPr>
        <w:tabs>
          <w:tab w:val="left" w:pos="6154"/>
        </w:tabs>
        <w:spacing w:line="360" w:lineRule="auto"/>
      </w:pPr>
    </w:p>
    <w:p w:rsidR="006568BF" w:rsidRPr="00C9724A" w:rsidRDefault="006568BF" w:rsidP="002016B4">
      <w:pPr>
        <w:tabs>
          <w:tab w:val="left" w:pos="6154"/>
        </w:tabs>
        <w:spacing w:line="360" w:lineRule="auto"/>
        <w:ind w:left="4344"/>
      </w:pPr>
    </w:p>
    <w:p w:rsidR="00B31CC9" w:rsidRPr="00C9724A" w:rsidRDefault="00B31CC9" w:rsidP="002016B4">
      <w:pPr>
        <w:tabs>
          <w:tab w:val="left" w:pos="6154"/>
        </w:tabs>
        <w:spacing w:line="360" w:lineRule="auto"/>
        <w:ind w:left="4344"/>
      </w:pPr>
    </w:p>
    <w:p w:rsidR="00C15079" w:rsidRPr="00C9724A" w:rsidRDefault="00C15079" w:rsidP="00E96DA6">
      <w:pPr>
        <w:spacing w:line="360" w:lineRule="auto"/>
        <w:jc w:val="center"/>
        <w:rPr>
          <w:b/>
          <w:sz w:val="32"/>
        </w:rPr>
      </w:pPr>
      <w:r w:rsidRPr="00C9724A">
        <w:rPr>
          <w:b/>
          <w:sz w:val="32"/>
        </w:rPr>
        <w:t xml:space="preserve">Polityka w zakresie </w:t>
      </w:r>
      <w:r w:rsidR="0022141E" w:rsidRPr="00C9724A">
        <w:rPr>
          <w:b/>
          <w:sz w:val="32"/>
        </w:rPr>
        <w:t xml:space="preserve">zarządzania ryzykiem </w:t>
      </w:r>
      <w:r w:rsidRPr="00C9724A">
        <w:rPr>
          <w:b/>
          <w:sz w:val="32"/>
        </w:rPr>
        <w:t>konflikt</w:t>
      </w:r>
      <w:r w:rsidR="0022141E" w:rsidRPr="00C9724A">
        <w:rPr>
          <w:b/>
          <w:sz w:val="32"/>
        </w:rPr>
        <w:t>u</w:t>
      </w:r>
      <w:r w:rsidRPr="00C9724A">
        <w:rPr>
          <w:b/>
          <w:sz w:val="32"/>
        </w:rPr>
        <w:t xml:space="preserve"> interesów</w:t>
      </w:r>
    </w:p>
    <w:p w:rsidR="00C15079" w:rsidRPr="00C9724A" w:rsidRDefault="00C15079" w:rsidP="00E96DA6">
      <w:pPr>
        <w:spacing w:line="360" w:lineRule="auto"/>
        <w:jc w:val="center"/>
        <w:rPr>
          <w:b/>
          <w:sz w:val="32"/>
        </w:rPr>
      </w:pPr>
      <w:r w:rsidRPr="00C9724A">
        <w:rPr>
          <w:b/>
          <w:sz w:val="32"/>
        </w:rPr>
        <w:t>w Banku</w:t>
      </w:r>
      <w:r w:rsidR="00E94DA5" w:rsidRPr="00C9724A">
        <w:rPr>
          <w:b/>
          <w:sz w:val="32"/>
        </w:rPr>
        <w:t xml:space="preserve"> Spółdzielczym w Kamiennej Górze </w:t>
      </w:r>
    </w:p>
    <w:p w:rsidR="00C15079" w:rsidRPr="00C9724A" w:rsidRDefault="00C15079" w:rsidP="00C15079">
      <w:pPr>
        <w:pStyle w:val="ROZDZIACharChar"/>
        <w:numPr>
          <w:ilvl w:val="0"/>
          <w:numId w:val="0"/>
        </w:numPr>
        <w:spacing w:after="0"/>
        <w:rPr>
          <w:smallCaps/>
          <w:sz w:val="32"/>
          <w:szCs w:val="28"/>
          <w:lang w:val="pl-PL"/>
        </w:rPr>
      </w:pPr>
    </w:p>
    <w:p w:rsidR="00C15079" w:rsidRPr="00C9724A" w:rsidRDefault="00C15079" w:rsidP="00C15079">
      <w:pPr>
        <w:pStyle w:val="ROZDZIACharChar"/>
        <w:numPr>
          <w:ilvl w:val="0"/>
          <w:numId w:val="0"/>
        </w:numPr>
        <w:spacing w:after="0"/>
        <w:rPr>
          <w:smallCaps/>
          <w:sz w:val="32"/>
          <w:szCs w:val="28"/>
          <w:lang w:val="pl-PL"/>
        </w:rPr>
      </w:pPr>
    </w:p>
    <w:p w:rsidR="006568BF" w:rsidRPr="00C9724A" w:rsidRDefault="006568BF" w:rsidP="002016B4">
      <w:pPr>
        <w:pStyle w:val="ROZDZIACharChar"/>
        <w:numPr>
          <w:ilvl w:val="0"/>
          <w:numId w:val="0"/>
        </w:numPr>
        <w:spacing w:after="0"/>
        <w:ind w:left="360"/>
        <w:rPr>
          <w:lang w:val="pl-PL"/>
        </w:rPr>
      </w:pPr>
    </w:p>
    <w:p w:rsidR="006568BF" w:rsidRPr="00C9724A" w:rsidRDefault="006568BF" w:rsidP="002016B4">
      <w:pPr>
        <w:spacing w:line="360" w:lineRule="auto"/>
        <w:jc w:val="center"/>
        <w:rPr>
          <w:b/>
          <w:bCs/>
          <w:sz w:val="36"/>
          <w:szCs w:val="36"/>
        </w:rPr>
      </w:pPr>
    </w:p>
    <w:p w:rsidR="006568BF" w:rsidRPr="00C9724A" w:rsidRDefault="006568BF" w:rsidP="002016B4">
      <w:pPr>
        <w:spacing w:line="360" w:lineRule="auto"/>
        <w:jc w:val="center"/>
        <w:rPr>
          <w:b/>
          <w:bCs/>
          <w:sz w:val="36"/>
          <w:szCs w:val="36"/>
        </w:rPr>
      </w:pPr>
    </w:p>
    <w:p w:rsidR="006568BF" w:rsidRPr="00C9724A" w:rsidRDefault="006568BF" w:rsidP="002016B4">
      <w:pPr>
        <w:spacing w:line="360" w:lineRule="auto"/>
        <w:jc w:val="center"/>
        <w:rPr>
          <w:b/>
          <w:bCs/>
          <w:sz w:val="36"/>
          <w:szCs w:val="36"/>
        </w:rPr>
      </w:pPr>
    </w:p>
    <w:p w:rsidR="006568BF" w:rsidRPr="00C9724A" w:rsidRDefault="006568BF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D2684F" w:rsidRPr="00C9724A" w:rsidRDefault="00D2684F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D2684F" w:rsidRPr="00C9724A" w:rsidRDefault="00D2684F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D2684F" w:rsidRPr="00C9724A" w:rsidRDefault="00D2684F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D2684F" w:rsidRPr="00C9724A" w:rsidRDefault="00D2684F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1D15CB" w:rsidRPr="00C9724A" w:rsidRDefault="001D15CB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1D15CB" w:rsidRPr="00C9724A" w:rsidRDefault="001D15CB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496352" w:rsidRPr="00C9724A" w:rsidRDefault="00496352" w:rsidP="002016B4">
      <w:pPr>
        <w:pStyle w:val="Tekstpodstawowy"/>
        <w:pBdr>
          <w:bottom w:val="single" w:sz="12" w:space="31" w:color="auto"/>
        </w:pBdr>
        <w:tabs>
          <w:tab w:val="left" w:pos="0"/>
        </w:tabs>
        <w:spacing w:line="360" w:lineRule="auto"/>
      </w:pPr>
    </w:p>
    <w:p w:rsidR="006568BF" w:rsidRPr="00C9724A" w:rsidRDefault="00EA6B9F" w:rsidP="00E94DA5">
      <w:pPr>
        <w:pStyle w:val="Tekstpodstawowy"/>
        <w:tabs>
          <w:tab w:val="left" w:pos="0"/>
        </w:tabs>
        <w:spacing w:line="360" w:lineRule="auto"/>
        <w:rPr>
          <w:rFonts w:ascii="Arial" w:hAnsi="Arial" w:cs="Arial"/>
          <w:bCs/>
        </w:rPr>
      </w:pPr>
      <w:r w:rsidRPr="00C9724A">
        <w:rPr>
          <w:rFonts w:ascii="Arial" w:hAnsi="Arial" w:cs="Arial"/>
          <w:bCs/>
        </w:rPr>
        <w:tab/>
      </w:r>
      <w:r w:rsidRPr="00C9724A">
        <w:rPr>
          <w:rFonts w:ascii="Arial" w:hAnsi="Arial" w:cs="Arial"/>
          <w:bCs/>
        </w:rPr>
        <w:tab/>
      </w:r>
      <w:r w:rsidRPr="00C9724A">
        <w:rPr>
          <w:rFonts w:ascii="Arial" w:hAnsi="Arial" w:cs="Arial"/>
          <w:bCs/>
        </w:rPr>
        <w:tab/>
      </w:r>
      <w:r w:rsidRPr="00C9724A">
        <w:rPr>
          <w:rFonts w:ascii="Arial" w:hAnsi="Arial" w:cs="Arial"/>
          <w:bCs/>
        </w:rPr>
        <w:tab/>
      </w:r>
      <w:r w:rsidRPr="00C9724A">
        <w:rPr>
          <w:rFonts w:ascii="Arial" w:hAnsi="Arial" w:cs="Arial"/>
          <w:bCs/>
        </w:rPr>
        <w:tab/>
        <w:t>LUTY</w:t>
      </w:r>
      <w:r w:rsidR="00D7081C" w:rsidRPr="00C9724A">
        <w:rPr>
          <w:rFonts w:ascii="Arial" w:hAnsi="Arial" w:cs="Arial"/>
          <w:bCs/>
        </w:rPr>
        <w:t>, 2022</w:t>
      </w:r>
    </w:p>
    <w:p w:rsidR="006568BF" w:rsidRPr="00C9724A" w:rsidRDefault="006568BF" w:rsidP="002016B4">
      <w:pPr>
        <w:pStyle w:val="Lista2"/>
        <w:spacing w:after="0" w:line="360" w:lineRule="auto"/>
        <w:ind w:left="0" w:firstLine="0"/>
        <w:jc w:val="left"/>
        <w:rPr>
          <w:b/>
        </w:rPr>
      </w:pPr>
    </w:p>
    <w:p w:rsidR="006568BF" w:rsidRPr="00C9724A" w:rsidRDefault="006568BF" w:rsidP="002016B4">
      <w:pPr>
        <w:pStyle w:val="Lista2"/>
        <w:spacing w:after="0" w:line="360" w:lineRule="auto"/>
        <w:ind w:left="0" w:firstLine="0"/>
        <w:jc w:val="left"/>
        <w:rPr>
          <w:b/>
        </w:rPr>
      </w:pPr>
      <w:r w:rsidRPr="00C9724A">
        <w:rPr>
          <w:b/>
        </w:rPr>
        <w:lastRenderedPageBreak/>
        <w:t>Spis treści</w:t>
      </w:r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9724A">
        <w:fldChar w:fldCharType="begin"/>
      </w:r>
      <w:r w:rsidR="006568BF" w:rsidRPr="00C9724A">
        <w:instrText xml:space="preserve"> TOC \o "1-3" \h \z \u </w:instrText>
      </w:r>
      <w:r w:rsidRPr="00C9724A">
        <w:fldChar w:fldCharType="separate"/>
      </w:r>
      <w:hyperlink w:anchor="_Toc12183014" w:history="1">
        <w:r w:rsidR="0072218B" w:rsidRPr="00C9724A">
          <w:rPr>
            <w:rStyle w:val="Hipercze"/>
            <w:noProof/>
          </w:rPr>
          <w:t>I. WSTĘP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_Toc12183014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2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15" w:history="1">
        <w:r w:rsidR="0072218B" w:rsidRPr="00C9724A">
          <w:rPr>
            <w:rStyle w:val="Hipercze"/>
            <w:noProof/>
          </w:rPr>
          <w:t>II. Zasady identyfikacji konfliktu interesów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_Toc12183015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3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16" w:history="1">
        <w:r w:rsidR="0072218B" w:rsidRPr="00C9724A">
          <w:rPr>
            <w:rStyle w:val="Hipercze"/>
            <w:noProof/>
          </w:rPr>
          <w:t>III. Zasady zapobiegania konfliktowi interesów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_Toc12183016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4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17" w:history="1">
        <w:r w:rsidR="0072218B" w:rsidRPr="00C9724A">
          <w:rPr>
            <w:rStyle w:val="Hipercze"/>
            <w:noProof/>
          </w:rPr>
          <w:t>IV. Rada Nadzorcza Banku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_Toc12183017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5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18" w:history="1">
        <w:r w:rsidR="0072218B" w:rsidRPr="00C9724A">
          <w:rPr>
            <w:rStyle w:val="Hipercze"/>
            <w:noProof/>
          </w:rPr>
          <w:t>V. Zarząd Banku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_Toc12183018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5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19" w:history="1">
        <w:r w:rsidR="0072218B" w:rsidRPr="00C9724A">
          <w:rPr>
            <w:rStyle w:val="Hipercze"/>
            <w:noProof/>
          </w:rPr>
          <w:t>VI. Powiązania personalne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_Toc12183019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6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20" w:history="1">
        <w:r w:rsidR="0072218B" w:rsidRPr="00C9724A">
          <w:rPr>
            <w:rStyle w:val="Hipercze"/>
            <w:noProof/>
          </w:rPr>
          <w:t>VII. Zawieranie transakcji istotnych dla Banku  lub dotyczących Członka organu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_Toc12183020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6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21" w:history="1">
        <w:r w:rsidR="0072218B" w:rsidRPr="00C9724A">
          <w:rPr>
            <w:rStyle w:val="Hipercze"/>
            <w:noProof/>
          </w:rPr>
          <w:t>VIII. Rejestr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_Toc12183021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7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22" w:history="1">
        <w:r w:rsidR="0072218B" w:rsidRPr="00C9724A">
          <w:rPr>
            <w:rStyle w:val="Hipercze"/>
            <w:noProof/>
          </w:rPr>
          <w:t>IX. Zarządzanie konfliktem interesów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_Toc12183022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8</w:t>
        </w:r>
        <w:r w:rsidRPr="00C9724A">
          <w:rPr>
            <w:noProof/>
            <w:webHidden/>
          </w:rPr>
          <w:fldChar w:fldCharType="end"/>
        </w:r>
      </w:hyperlink>
    </w:p>
    <w:p w:rsidR="0072218B" w:rsidRPr="00C9724A" w:rsidRDefault="00F02EF5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2183023" w:history="1">
        <w:r w:rsidR="0072218B" w:rsidRPr="00C9724A">
          <w:rPr>
            <w:rStyle w:val="Hipercze"/>
            <w:noProof/>
          </w:rPr>
          <w:t>X. Postanowienia końcowe</w:t>
        </w:r>
        <w:r w:rsidR="0072218B" w:rsidRPr="00C9724A">
          <w:rPr>
            <w:noProof/>
            <w:webHidden/>
          </w:rPr>
          <w:tab/>
        </w:r>
        <w:r w:rsidRPr="00C9724A">
          <w:rPr>
            <w:noProof/>
            <w:webHidden/>
          </w:rPr>
          <w:fldChar w:fldCharType="begin"/>
        </w:r>
        <w:r w:rsidR="0072218B" w:rsidRPr="00C9724A">
          <w:rPr>
            <w:noProof/>
            <w:webHidden/>
          </w:rPr>
          <w:instrText xml:space="preserve"> PAGEREF _Toc12183023 \h </w:instrText>
        </w:r>
        <w:r w:rsidRPr="00C9724A">
          <w:rPr>
            <w:noProof/>
            <w:webHidden/>
          </w:rPr>
        </w:r>
        <w:r w:rsidRPr="00C9724A">
          <w:rPr>
            <w:noProof/>
            <w:webHidden/>
          </w:rPr>
          <w:fldChar w:fldCharType="separate"/>
        </w:r>
        <w:r w:rsidR="00D7081C" w:rsidRPr="00C9724A">
          <w:rPr>
            <w:noProof/>
            <w:webHidden/>
          </w:rPr>
          <w:t>10</w:t>
        </w:r>
        <w:r w:rsidRPr="00C9724A">
          <w:rPr>
            <w:noProof/>
            <w:webHidden/>
          </w:rPr>
          <w:fldChar w:fldCharType="end"/>
        </w:r>
      </w:hyperlink>
    </w:p>
    <w:p w:rsidR="00B27052" w:rsidRPr="00C9724A" w:rsidRDefault="00F02EF5" w:rsidP="00F04E86">
      <w:pPr>
        <w:pStyle w:val="Nagwek1"/>
        <w:jc w:val="center"/>
        <w:rPr>
          <w:sz w:val="28"/>
          <w:szCs w:val="28"/>
        </w:rPr>
      </w:pPr>
      <w:r w:rsidRPr="00C9724A">
        <w:fldChar w:fldCharType="end"/>
      </w:r>
      <w:r w:rsidR="006568BF" w:rsidRPr="00C9724A">
        <w:br w:type="page"/>
      </w:r>
      <w:bookmarkStart w:id="0" w:name="_Toc12183014"/>
      <w:r w:rsidR="00B27052" w:rsidRPr="00C9724A">
        <w:rPr>
          <w:sz w:val="28"/>
          <w:szCs w:val="28"/>
        </w:rPr>
        <w:lastRenderedPageBreak/>
        <w:t>I. WSTĘP</w:t>
      </w:r>
      <w:bookmarkEnd w:id="0"/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1.</w:t>
      </w:r>
    </w:p>
    <w:p w:rsidR="00A37A98" w:rsidRPr="00C9724A" w:rsidRDefault="00B27052" w:rsidP="002F6062">
      <w:pPr>
        <w:pStyle w:val="Akapitzlist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Polityka zarządzania </w:t>
      </w:r>
      <w:r w:rsidR="0022141E" w:rsidRPr="00C9724A">
        <w:rPr>
          <w:sz w:val="24"/>
          <w:szCs w:val="24"/>
        </w:rPr>
        <w:t xml:space="preserve">ryzykiem </w:t>
      </w:r>
      <w:r w:rsidRPr="00C9724A">
        <w:rPr>
          <w:sz w:val="24"/>
          <w:szCs w:val="24"/>
        </w:rPr>
        <w:t>konflikt</w:t>
      </w:r>
      <w:r w:rsidR="0022141E" w:rsidRPr="00C9724A">
        <w:rPr>
          <w:sz w:val="24"/>
          <w:szCs w:val="24"/>
        </w:rPr>
        <w:t>u</w:t>
      </w:r>
      <w:r w:rsidRPr="00C9724A">
        <w:rPr>
          <w:sz w:val="24"/>
          <w:szCs w:val="24"/>
        </w:rPr>
        <w:t xml:space="preserve"> interesów w</w:t>
      </w:r>
      <w:r w:rsidR="00E94DA5" w:rsidRPr="00C9724A">
        <w:rPr>
          <w:sz w:val="24"/>
          <w:szCs w:val="24"/>
        </w:rPr>
        <w:t xml:space="preserve"> Banku Spółdzielczym w Kamiennej Górze</w:t>
      </w:r>
      <w:r w:rsidRPr="00C9724A">
        <w:rPr>
          <w:sz w:val="24"/>
          <w:szCs w:val="24"/>
        </w:rPr>
        <w:t xml:space="preserve">, zwana dalej </w:t>
      </w:r>
      <w:r w:rsidRPr="00C9724A">
        <w:rPr>
          <w:i/>
          <w:sz w:val="24"/>
          <w:szCs w:val="24"/>
        </w:rPr>
        <w:t>„</w:t>
      </w:r>
      <w:r w:rsidRPr="00C9724A">
        <w:rPr>
          <w:sz w:val="24"/>
          <w:szCs w:val="24"/>
        </w:rPr>
        <w:t xml:space="preserve">Polityką”, określa zasady identyfikacji, zarządzania oraz zapobiegania </w:t>
      </w:r>
      <w:r w:rsidR="00A37A98" w:rsidRPr="00C9724A">
        <w:rPr>
          <w:sz w:val="24"/>
          <w:szCs w:val="24"/>
        </w:rPr>
        <w:t xml:space="preserve">ryzyku wynikającego z rzeczywistych oraz potencjalnych </w:t>
      </w:r>
      <w:r w:rsidRPr="00C9724A">
        <w:rPr>
          <w:sz w:val="24"/>
          <w:szCs w:val="24"/>
        </w:rPr>
        <w:t>konflikt</w:t>
      </w:r>
      <w:r w:rsidR="00A37A98" w:rsidRPr="00C9724A">
        <w:rPr>
          <w:sz w:val="24"/>
          <w:szCs w:val="24"/>
        </w:rPr>
        <w:t>ów</w:t>
      </w:r>
      <w:r w:rsidRPr="00C9724A">
        <w:rPr>
          <w:sz w:val="24"/>
          <w:szCs w:val="24"/>
        </w:rPr>
        <w:t xml:space="preserve"> interesów, a także zasady wyłączania z procesu decyzyjnego członka organu zarządzającego/ nadzorującego Banku, w przypadku zaistnienia konfliktu interesów lub możliwości jego zaistnienia.</w:t>
      </w:r>
    </w:p>
    <w:p w:rsidR="00A37A98" w:rsidRPr="00C9724A" w:rsidRDefault="00B27052" w:rsidP="002F6062">
      <w:pPr>
        <w:pStyle w:val="Akapitzlist"/>
        <w:numPr>
          <w:ilvl w:val="0"/>
          <w:numId w:val="19"/>
        </w:numPr>
        <w:spacing w:after="120"/>
        <w:ind w:left="284" w:hanging="284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Celem Polityki jest </w:t>
      </w:r>
      <w:r w:rsidR="00A37A98" w:rsidRPr="00C9724A">
        <w:rPr>
          <w:sz w:val="24"/>
          <w:szCs w:val="24"/>
        </w:rPr>
        <w:t>identyfikacja i ocena rzeczywistych oraz potencjalnych konfliktów między interesami Banku, a prywatnymi interesami pracowników i ich minimalizacji lub zapobiegania im; obejmuje to także konflikty z interesami członków organów Banku.</w:t>
      </w:r>
    </w:p>
    <w:p w:rsidR="00A37A98" w:rsidRPr="00C9724A" w:rsidRDefault="00A37A98" w:rsidP="00B27052">
      <w:pPr>
        <w:jc w:val="center"/>
        <w:rPr>
          <w:b/>
          <w:sz w:val="24"/>
          <w:szCs w:val="24"/>
        </w:rPr>
      </w:pP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2.</w:t>
      </w:r>
    </w:p>
    <w:p w:rsidR="00B27052" w:rsidRPr="00C9724A" w:rsidRDefault="00B27052" w:rsidP="00B27052">
      <w:pPr>
        <w:pStyle w:val="Akapitzlist"/>
        <w:ind w:left="0"/>
        <w:rPr>
          <w:sz w:val="24"/>
          <w:szCs w:val="24"/>
        </w:rPr>
      </w:pPr>
      <w:r w:rsidRPr="00C9724A">
        <w:rPr>
          <w:sz w:val="24"/>
          <w:szCs w:val="24"/>
        </w:rPr>
        <w:t>Polityka stanowi wykonanie postanowień:</w:t>
      </w:r>
    </w:p>
    <w:p w:rsidR="00A37A98" w:rsidRPr="00C9724A" w:rsidRDefault="00A37A98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Wytycznych Europejskiego Urzędu Nadzoru Bankowego w s</w:t>
      </w:r>
      <w:r w:rsidR="00B2439D" w:rsidRPr="00C9724A">
        <w:rPr>
          <w:sz w:val="24"/>
          <w:szCs w:val="24"/>
        </w:rPr>
        <w:t>prawie zarządzania wewnętrznego;</w:t>
      </w:r>
      <w:r w:rsidRPr="00C9724A">
        <w:rPr>
          <w:sz w:val="24"/>
          <w:szCs w:val="24"/>
        </w:rPr>
        <w:t xml:space="preserve"> </w:t>
      </w:r>
    </w:p>
    <w:p w:rsidR="00B27052" w:rsidRPr="00C9724A" w:rsidRDefault="00B27052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Zasad Ładu Korporacyjnego dla Instytucji Nadzorowanych – wydanych przez Komisję Nadzoru Finansowego;</w:t>
      </w:r>
    </w:p>
    <w:p w:rsidR="00B2439D" w:rsidRPr="00C9724A" w:rsidRDefault="00B2439D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Ustawy z dnia 29 sierpnia 1997 r. Prawo bankowe;</w:t>
      </w:r>
    </w:p>
    <w:p w:rsidR="00B2439D" w:rsidRPr="00C9724A" w:rsidRDefault="00B2439D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Rozporządzenia Ministra Finansów, funduszy i Polityki Regionalnej z dnia 8 czerwca 2021 r. w sprawie systemu zarządzania ryzykiem i systemu kontroli wewnętrznej oraz polityki wynagrodzeń w bankach;</w:t>
      </w:r>
    </w:p>
    <w:p w:rsidR="00B2439D" w:rsidRPr="00C9724A" w:rsidRDefault="00B2439D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Rekomendacji H dotyczącej systemu kontroli wewnętrznej w bankach, wydanej przez Komisję Nadzoru Finansowego w 2017 r.;</w:t>
      </w:r>
    </w:p>
    <w:p w:rsidR="00B2439D" w:rsidRPr="00C9724A" w:rsidRDefault="00B2439D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Rekomendacji M dotyczącej zarządzania ryzykiem operacyjnym w bankach, wydanej przez Komisję Nadzoru Finansowego w 2013 r.;</w:t>
      </w:r>
    </w:p>
    <w:p w:rsidR="00B2439D" w:rsidRPr="00C9724A" w:rsidRDefault="00B2439D" w:rsidP="002F6062">
      <w:pPr>
        <w:numPr>
          <w:ilvl w:val="0"/>
          <w:numId w:val="15"/>
        </w:numPr>
        <w:autoSpaceDE w:val="0"/>
        <w:autoSpaceDN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Rekomendacji Z dotyczącej zasad ładu wewnętrznego w bankach, wydanej przez Komisję Nadzoru Finansowego w 2020 r.;</w:t>
      </w:r>
    </w:p>
    <w:p w:rsidR="00B2439D" w:rsidRPr="00C9724A" w:rsidRDefault="00B2439D" w:rsidP="00B2439D">
      <w:pPr>
        <w:autoSpaceDE w:val="0"/>
        <w:autoSpaceDN w:val="0"/>
        <w:jc w:val="both"/>
        <w:rPr>
          <w:sz w:val="24"/>
          <w:szCs w:val="24"/>
        </w:rPr>
      </w:pPr>
    </w:p>
    <w:p w:rsidR="00B27052" w:rsidRPr="00C9724A" w:rsidRDefault="00B27052" w:rsidP="00B27052">
      <w:pPr>
        <w:autoSpaceDE w:val="0"/>
        <w:autoSpaceDN w:val="0"/>
        <w:ind w:left="786"/>
        <w:jc w:val="both"/>
        <w:rPr>
          <w:sz w:val="24"/>
          <w:szCs w:val="24"/>
        </w:rPr>
      </w:pPr>
    </w:p>
    <w:p w:rsidR="00B27052" w:rsidRPr="00C9724A" w:rsidRDefault="00B27052" w:rsidP="00B27052">
      <w:pPr>
        <w:pStyle w:val="Akapitzlist"/>
        <w:ind w:left="0"/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3.</w:t>
      </w:r>
    </w:p>
    <w:p w:rsidR="00B27052" w:rsidRPr="00C9724A" w:rsidRDefault="00B27052" w:rsidP="002F6062">
      <w:pPr>
        <w:pStyle w:val="Akapitzlist"/>
        <w:numPr>
          <w:ilvl w:val="0"/>
          <w:numId w:val="14"/>
        </w:numPr>
        <w:ind w:left="426"/>
        <w:contextualSpacing/>
        <w:rPr>
          <w:sz w:val="24"/>
          <w:szCs w:val="24"/>
        </w:rPr>
      </w:pPr>
      <w:r w:rsidRPr="00C9724A">
        <w:rPr>
          <w:sz w:val="24"/>
          <w:szCs w:val="24"/>
        </w:rPr>
        <w:t>Użyte w Polityce określenia oznaczają:</w:t>
      </w:r>
    </w:p>
    <w:p w:rsidR="00F04E86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 xml:space="preserve">Bank </w:t>
      </w:r>
      <w:r w:rsidRPr="00C9724A">
        <w:rPr>
          <w:sz w:val="24"/>
          <w:szCs w:val="24"/>
        </w:rPr>
        <w:t>–Bank Spółdzielczy w</w:t>
      </w:r>
      <w:r w:rsidR="005E5BB5" w:rsidRPr="00C9724A">
        <w:rPr>
          <w:sz w:val="24"/>
          <w:szCs w:val="24"/>
        </w:rPr>
        <w:t xml:space="preserve"> Kamiennej Górze</w:t>
      </w:r>
      <w:r w:rsidR="00F04E86" w:rsidRPr="00C9724A">
        <w:rPr>
          <w:sz w:val="24"/>
          <w:szCs w:val="24"/>
        </w:rPr>
        <w:t>;</w:t>
      </w:r>
    </w:p>
    <w:p w:rsidR="00B27052" w:rsidRPr="00C9724A" w:rsidRDefault="00F04E86" w:rsidP="002F6062">
      <w:pPr>
        <w:pStyle w:val="Akapitzlist"/>
        <w:numPr>
          <w:ilvl w:val="0"/>
          <w:numId w:val="16"/>
        </w:numPr>
        <w:contextualSpacing/>
        <w:jc w:val="both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p</w:t>
      </w:r>
      <w:r w:rsidR="00B27052" w:rsidRPr="00C9724A">
        <w:rPr>
          <w:b/>
          <w:sz w:val="24"/>
          <w:szCs w:val="24"/>
        </w:rPr>
        <w:t xml:space="preserve">odmiot zależny </w:t>
      </w:r>
      <w:r w:rsidR="00B27052" w:rsidRPr="00C9724A">
        <w:rPr>
          <w:sz w:val="24"/>
          <w:szCs w:val="24"/>
        </w:rPr>
        <w:t>– jednostka kontrolowana przez Bank;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>Członek organu</w:t>
      </w:r>
      <w:r w:rsidRPr="00C9724A">
        <w:rPr>
          <w:sz w:val="24"/>
          <w:szCs w:val="24"/>
        </w:rPr>
        <w:t xml:space="preserve"> – członek Zarządu albo Rady Nadzorczej, bez względu na podstawę prawną pełnienia funkcji (np. stosunek pracy, umowa zlecenia itp.);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>organ Banku</w:t>
      </w:r>
      <w:r w:rsidRPr="00C9724A">
        <w:rPr>
          <w:sz w:val="24"/>
          <w:szCs w:val="24"/>
        </w:rPr>
        <w:t xml:space="preserve"> – Zarząd Banku i Rada Nadzorcza Banku;</w:t>
      </w:r>
    </w:p>
    <w:p w:rsidR="00F04E86" w:rsidRPr="00C9724A" w:rsidRDefault="005E5BB5" w:rsidP="002F6062">
      <w:pPr>
        <w:pStyle w:val="Akapitzlist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 xml:space="preserve">Komórka ds. zgodności - </w:t>
      </w:r>
      <w:r w:rsidR="00B27052" w:rsidRPr="00C9724A">
        <w:rPr>
          <w:b/>
          <w:sz w:val="24"/>
          <w:szCs w:val="24"/>
        </w:rPr>
        <w:t xml:space="preserve">stanowisko ds. zgodności </w:t>
      </w:r>
      <w:r w:rsidRPr="00C9724A">
        <w:rPr>
          <w:sz w:val="24"/>
          <w:szCs w:val="24"/>
        </w:rPr>
        <w:t>(</w:t>
      </w:r>
      <w:proofErr w:type="spellStart"/>
      <w:r w:rsidRPr="00C9724A">
        <w:rPr>
          <w:sz w:val="24"/>
          <w:szCs w:val="24"/>
        </w:rPr>
        <w:t>compliance</w:t>
      </w:r>
      <w:proofErr w:type="spellEnd"/>
      <w:r w:rsidRPr="00C9724A">
        <w:rPr>
          <w:sz w:val="24"/>
          <w:szCs w:val="24"/>
        </w:rPr>
        <w:t>)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 xml:space="preserve">interes Banku </w:t>
      </w:r>
      <w:r w:rsidRPr="00C9724A">
        <w:rPr>
          <w:sz w:val="24"/>
          <w:szCs w:val="24"/>
        </w:rPr>
        <w:t>– zespół okoliczności prawnych lub faktycznych korzystnie oddziałujących na sytuację finansową Banku lub jego pozytywny wizerunek na rynku; wynika z realizowania przez Bank zadań i funkcji określonych w Ustawie Prawo bankowe oraz z zasad prawidłowej gospodarki majątkiem Banku;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b/>
          <w:color w:val="000000"/>
          <w:sz w:val="24"/>
          <w:szCs w:val="24"/>
        </w:rPr>
      </w:pPr>
      <w:r w:rsidRPr="00C9724A">
        <w:rPr>
          <w:b/>
          <w:color w:val="000000"/>
          <w:sz w:val="24"/>
          <w:szCs w:val="24"/>
        </w:rPr>
        <w:t>konflikt interesów</w:t>
      </w:r>
      <w:r w:rsidRPr="00C9724A">
        <w:rPr>
          <w:color w:val="000000"/>
          <w:sz w:val="24"/>
          <w:szCs w:val="24"/>
        </w:rPr>
        <w:t xml:space="preserve"> – zbiór okoliczności prawnych lub faktycznych znanych w Banku, które mogą doprowadzić do powstania sprzeczności między interesem Banku a osobami powiązanymi z Bankiem w tym Członkiem organu Banku, jak również występowanie postaw lub zachowań, dla których intencją jest realizacja ich prywatnych celów majątkowych lub celów osób trzecich, pozostających w sprzeczności z interesem Banku;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color w:val="000000"/>
          <w:sz w:val="24"/>
          <w:szCs w:val="24"/>
        </w:rPr>
      </w:pPr>
      <w:r w:rsidRPr="00C9724A">
        <w:rPr>
          <w:b/>
          <w:color w:val="000000"/>
          <w:sz w:val="24"/>
          <w:szCs w:val="24"/>
        </w:rPr>
        <w:lastRenderedPageBreak/>
        <w:t xml:space="preserve">osoba powiązana z Bankiem – </w:t>
      </w:r>
      <w:r w:rsidRPr="00C9724A">
        <w:rPr>
          <w:color w:val="000000"/>
          <w:sz w:val="24"/>
          <w:szCs w:val="24"/>
        </w:rPr>
        <w:t>osoba związana z Bankiem stosunkiem pracy, zlecenia lub innym stosunkiem pracy o podobnym charakterze; osoby wchodzące w skład statutowych organów Banku; osoby wchodzące w skład organu, kierującą działalnością lub pozostającą w stosunku pracy, zlecenia lub innym stosunku o podobnym charakterze z podmiotem, któremu Bank przekazał do wykonania czynności zgodnie z umową outsourcingową;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 xml:space="preserve">osoba bliska </w:t>
      </w:r>
      <w:r w:rsidRPr="00C9724A">
        <w:rPr>
          <w:sz w:val="24"/>
          <w:szCs w:val="24"/>
        </w:rPr>
        <w:t>– osoba powiązana personalnie z Członkiem organu Banku, tj. jego małżonek, wstępny, zstępny lub powinowaty w linii prostej lub bocznej do drugiego stopnia a także osoba, która z jakiegokolwiek powodu może liczyć na szczególne względy u Członka organu Banku;</w:t>
      </w:r>
    </w:p>
    <w:p w:rsidR="00F04E86" w:rsidRPr="00C9724A" w:rsidRDefault="00F04E86" w:rsidP="002F6062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>powiązania personalne</w:t>
      </w:r>
      <w:r w:rsidRPr="00C9724A">
        <w:rPr>
          <w:sz w:val="24"/>
          <w:szCs w:val="24"/>
        </w:rPr>
        <w:t xml:space="preserve"> - </w:t>
      </w:r>
      <w:r w:rsidR="0017350F" w:rsidRPr="00C9724A">
        <w:rPr>
          <w:sz w:val="24"/>
          <w:szCs w:val="24"/>
        </w:rPr>
        <w:t xml:space="preserve">związki, stosunki, relacje personalne o różnym charakterze, które występują między osobami fizycznymi w warunkach gospodarczych, dotyczą relacji między podmiotami o charakterze rodzinnym, majątkowym oraz wynikającym ze stosunku pracy, </w:t>
      </w:r>
      <w:r w:rsidRPr="00C9724A">
        <w:rPr>
          <w:sz w:val="24"/>
          <w:szCs w:val="24"/>
        </w:rPr>
        <w:t>powiązanie, które może rodzić ryzyko konfliktu interesów pracownika/członka organu Banku z racji posiadania relacji pozasłużbowych z innym pracownikiem/członkiem organu Banku;</w:t>
      </w:r>
      <w:r w:rsidR="0017350F" w:rsidRPr="00C9724A">
        <w:rPr>
          <w:sz w:val="24"/>
          <w:szCs w:val="24"/>
        </w:rPr>
        <w:t xml:space="preserve"> 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sz w:val="24"/>
          <w:szCs w:val="24"/>
        </w:rPr>
      </w:pPr>
      <w:r w:rsidRPr="00C9724A">
        <w:rPr>
          <w:b/>
          <w:sz w:val="24"/>
          <w:szCs w:val="24"/>
        </w:rPr>
        <w:t xml:space="preserve">proces decyzyjny </w:t>
      </w:r>
      <w:r w:rsidRPr="00C9724A">
        <w:rPr>
          <w:sz w:val="24"/>
          <w:szCs w:val="24"/>
        </w:rPr>
        <w:t>–</w:t>
      </w:r>
      <w:r w:rsidRPr="00C9724A">
        <w:rPr>
          <w:b/>
          <w:sz w:val="24"/>
          <w:szCs w:val="24"/>
        </w:rPr>
        <w:t xml:space="preserve"> </w:t>
      </w:r>
      <w:r w:rsidRPr="00C9724A">
        <w:rPr>
          <w:sz w:val="24"/>
          <w:szCs w:val="24"/>
        </w:rPr>
        <w:t>zbiór czynności prowadzących do merytorycznego rozpoznania przez organ Banku konkretnej sprawy; wyłączenie Członka organu z procesu decyzyjnego odnosi się tylko do tej sprawy, której konflikt interesów dotyczy;</w:t>
      </w:r>
    </w:p>
    <w:p w:rsidR="00B27052" w:rsidRPr="00C9724A" w:rsidRDefault="00B27052" w:rsidP="002F6062">
      <w:pPr>
        <w:pStyle w:val="Akapitzlist"/>
        <w:numPr>
          <w:ilvl w:val="0"/>
          <w:numId w:val="16"/>
        </w:numPr>
        <w:contextualSpacing/>
        <w:jc w:val="both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 xml:space="preserve">zachęta – </w:t>
      </w:r>
      <w:r w:rsidRPr="00C9724A">
        <w:rPr>
          <w:sz w:val="24"/>
          <w:szCs w:val="24"/>
        </w:rPr>
        <w:t xml:space="preserve">opłata, prowizja, korzyść pieniężna lub świadczenie niepieniężne, której przyjęcie przez </w:t>
      </w:r>
      <w:r w:rsidR="00A37A98" w:rsidRPr="00C9724A">
        <w:rPr>
          <w:sz w:val="24"/>
          <w:szCs w:val="24"/>
        </w:rPr>
        <w:t xml:space="preserve">pracownika lub </w:t>
      </w:r>
      <w:r w:rsidRPr="00C9724A">
        <w:rPr>
          <w:sz w:val="24"/>
          <w:szCs w:val="24"/>
        </w:rPr>
        <w:t>Członka organu Banku może przyczynić się do powstania sytuacji konfliktu interesów. Za zachętę traktuje się także powierzenie pracy lub pełnienia funkcji za wynagrodzeniem.</w:t>
      </w:r>
      <w:r w:rsidRPr="00C9724A" w:rsidDel="005B502E">
        <w:rPr>
          <w:b/>
          <w:sz w:val="24"/>
          <w:szCs w:val="24"/>
        </w:rPr>
        <w:t xml:space="preserve"> </w:t>
      </w:r>
    </w:p>
    <w:p w:rsidR="00B27052" w:rsidRPr="00C9724A" w:rsidRDefault="00B27052" w:rsidP="00B27052">
      <w:pPr>
        <w:pStyle w:val="Akapitzlist"/>
        <w:jc w:val="both"/>
        <w:rPr>
          <w:sz w:val="24"/>
          <w:szCs w:val="24"/>
        </w:rPr>
      </w:pPr>
    </w:p>
    <w:p w:rsidR="00B27052" w:rsidRPr="00C9724A" w:rsidRDefault="00F04E86" w:rsidP="00F04E86">
      <w:pPr>
        <w:pStyle w:val="Nagwek1"/>
        <w:jc w:val="center"/>
        <w:rPr>
          <w:sz w:val="28"/>
          <w:szCs w:val="28"/>
        </w:rPr>
      </w:pPr>
      <w:bookmarkStart w:id="1" w:name="_Toc12183015"/>
      <w:r w:rsidRPr="00C9724A">
        <w:rPr>
          <w:sz w:val="28"/>
          <w:szCs w:val="28"/>
        </w:rPr>
        <w:t>II. Z</w:t>
      </w:r>
      <w:r w:rsidR="00B27052" w:rsidRPr="00C9724A">
        <w:rPr>
          <w:sz w:val="28"/>
          <w:szCs w:val="28"/>
        </w:rPr>
        <w:t>asady identyfikacji konfliktu interesów</w:t>
      </w:r>
      <w:bookmarkEnd w:id="1"/>
    </w:p>
    <w:p w:rsidR="00B27052" w:rsidRPr="00C9724A" w:rsidRDefault="00B27052" w:rsidP="00B27052">
      <w:pPr>
        <w:pStyle w:val="Akapitzlist"/>
        <w:ind w:left="0"/>
        <w:jc w:val="center"/>
        <w:rPr>
          <w:b/>
          <w:sz w:val="24"/>
          <w:szCs w:val="24"/>
        </w:rPr>
      </w:pPr>
    </w:p>
    <w:p w:rsidR="00B27052" w:rsidRPr="00C9724A" w:rsidRDefault="00B27052" w:rsidP="00603192">
      <w:pPr>
        <w:pStyle w:val="Akapitzlist"/>
        <w:ind w:left="0"/>
        <w:jc w:val="center"/>
        <w:rPr>
          <w:sz w:val="24"/>
          <w:szCs w:val="24"/>
        </w:rPr>
      </w:pPr>
      <w:r w:rsidRPr="00C9724A">
        <w:rPr>
          <w:b/>
          <w:sz w:val="24"/>
          <w:szCs w:val="24"/>
        </w:rPr>
        <w:t>§ 4.</w:t>
      </w:r>
    </w:p>
    <w:p w:rsidR="00430D0F" w:rsidRPr="00C9724A" w:rsidRDefault="00430D0F" w:rsidP="00B27052">
      <w:pPr>
        <w:pStyle w:val="Akapitzlist"/>
        <w:ind w:left="0"/>
        <w:jc w:val="center"/>
        <w:rPr>
          <w:b/>
          <w:sz w:val="24"/>
          <w:szCs w:val="24"/>
        </w:rPr>
      </w:pPr>
    </w:p>
    <w:p w:rsidR="00B27052" w:rsidRPr="00C9724A" w:rsidRDefault="00B27052" w:rsidP="002F6062">
      <w:pPr>
        <w:pStyle w:val="Default"/>
        <w:numPr>
          <w:ilvl w:val="0"/>
          <w:numId w:val="26"/>
        </w:numPr>
      </w:pPr>
      <w:r w:rsidRPr="00C9724A">
        <w:t>Z uwagi na charakter działalności Banku, podstawowe obszary ryzyka konfliktu interesów w Banku obejmują:</w:t>
      </w:r>
    </w:p>
    <w:p w:rsidR="00B27052" w:rsidRPr="00C9724A" w:rsidRDefault="00B27052" w:rsidP="002F6062">
      <w:pPr>
        <w:pStyle w:val="Default"/>
        <w:numPr>
          <w:ilvl w:val="0"/>
          <w:numId w:val="9"/>
        </w:numPr>
        <w:jc w:val="both"/>
      </w:pPr>
      <w:r w:rsidRPr="00C9724A">
        <w:t xml:space="preserve">konflikt dotyczący relacji i transakcji Banku z członkami organów, osobami na stanowiskach kierowniczych, w tym pełniącymi kluczowe funkcje, a także transakcji z podmiotami powiązanymi z członkami organów, osobami na stanowiskach kierowniczych, w tym pełniącymi kluczowe funkcje, </w:t>
      </w:r>
    </w:p>
    <w:p w:rsidR="00B27052" w:rsidRPr="00C9724A" w:rsidRDefault="00B27052" w:rsidP="002F6062">
      <w:pPr>
        <w:pStyle w:val="Default"/>
        <w:numPr>
          <w:ilvl w:val="0"/>
          <w:numId w:val="9"/>
        </w:numPr>
        <w:jc w:val="both"/>
      </w:pPr>
      <w:r w:rsidRPr="00C9724A">
        <w:t>konflikt dotyczący transakcji Banku z pracownikami, a także z podmiotami powiązanymi (w tym personalnie) z pracownikami,</w:t>
      </w:r>
    </w:p>
    <w:p w:rsidR="00B27052" w:rsidRPr="00C9724A" w:rsidRDefault="00B27052" w:rsidP="002F6062">
      <w:pPr>
        <w:pStyle w:val="Default"/>
        <w:numPr>
          <w:ilvl w:val="0"/>
          <w:numId w:val="9"/>
        </w:numPr>
        <w:jc w:val="both"/>
      </w:pPr>
      <w:r w:rsidRPr="00C9724A">
        <w:t>konflikt dotyczący powiązań personalnych w strukturze organizacyjnej Banku,</w:t>
      </w:r>
    </w:p>
    <w:p w:rsidR="00B27052" w:rsidRPr="00C9724A" w:rsidRDefault="00B27052" w:rsidP="002F6062">
      <w:pPr>
        <w:pStyle w:val="Default"/>
        <w:numPr>
          <w:ilvl w:val="0"/>
          <w:numId w:val="9"/>
        </w:numPr>
        <w:jc w:val="both"/>
      </w:pPr>
      <w:r w:rsidRPr="00C9724A">
        <w:t>konflikt dotyczący zawierania transakcji z podmiotami powiązanymi z Bankiem,</w:t>
      </w:r>
    </w:p>
    <w:p w:rsidR="00B27052" w:rsidRPr="00C9724A" w:rsidRDefault="00B27052" w:rsidP="002F6062">
      <w:pPr>
        <w:pStyle w:val="Default"/>
        <w:numPr>
          <w:ilvl w:val="0"/>
          <w:numId w:val="9"/>
        </w:numPr>
        <w:jc w:val="both"/>
      </w:pPr>
      <w:r w:rsidRPr="00C9724A">
        <w:t>konflikt dotyczący zawierania transakcji z różnymi klientami w sytuacji konfliktu interesów.</w:t>
      </w:r>
    </w:p>
    <w:p w:rsidR="00B27052" w:rsidRPr="00C9724A" w:rsidRDefault="00B27052" w:rsidP="002F6062">
      <w:pPr>
        <w:pStyle w:val="Default"/>
        <w:numPr>
          <w:ilvl w:val="0"/>
          <w:numId w:val="14"/>
        </w:numPr>
        <w:ind w:left="426" w:hanging="426"/>
      </w:pPr>
      <w:r w:rsidRPr="00C9724A">
        <w:t>Konflikt interesów może dotyczyć relacji i transakcji między:</w:t>
      </w:r>
    </w:p>
    <w:p w:rsidR="00B27052" w:rsidRPr="00C9724A" w:rsidRDefault="00B27052" w:rsidP="002F6062">
      <w:pPr>
        <w:pStyle w:val="Default"/>
        <w:numPr>
          <w:ilvl w:val="0"/>
          <w:numId w:val="10"/>
        </w:numPr>
        <w:ind w:left="851" w:hanging="425"/>
      </w:pPr>
      <w:r w:rsidRPr="00C9724A">
        <w:t>różnymi klientami Banku;</w:t>
      </w:r>
    </w:p>
    <w:p w:rsidR="00B27052" w:rsidRPr="00C9724A" w:rsidRDefault="00B27052" w:rsidP="002F6062">
      <w:pPr>
        <w:pStyle w:val="Default"/>
        <w:numPr>
          <w:ilvl w:val="0"/>
          <w:numId w:val="10"/>
        </w:numPr>
        <w:ind w:left="851" w:hanging="425"/>
      </w:pPr>
      <w:r w:rsidRPr="00C9724A">
        <w:t>między Bankiem, a:</w:t>
      </w:r>
    </w:p>
    <w:p w:rsidR="00B27052" w:rsidRPr="00C9724A" w:rsidRDefault="00B27052" w:rsidP="00B27052">
      <w:pPr>
        <w:pStyle w:val="Default"/>
        <w:ind w:left="993"/>
      </w:pPr>
      <w:r w:rsidRPr="00C9724A">
        <w:t>a) klientami (w rezultacie modelu handlowego lub różnych usług oferowanych przez bank i prowadzonej przez niego działalności),</w:t>
      </w:r>
    </w:p>
    <w:p w:rsidR="00B27052" w:rsidRPr="00C9724A" w:rsidRDefault="00B27052" w:rsidP="00B27052">
      <w:pPr>
        <w:pStyle w:val="Default"/>
        <w:ind w:left="993"/>
      </w:pPr>
      <w:r w:rsidRPr="00C9724A">
        <w:t>b) udziałowcami,</w:t>
      </w:r>
    </w:p>
    <w:p w:rsidR="00B27052" w:rsidRPr="00C9724A" w:rsidRDefault="00B27052" w:rsidP="00B27052">
      <w:pPr>
        <w:pStyle w:val="Default"/>
        <w:ind w:left="993"/>
      </w:pPr>
      <w:r w:rsidRPr="00C9724A">
        <w:t>c) członkami Rady Nadzorczej i Zarządu,</w:t>
      </w:r>
    </w:p>
    <w:p w:rsidR="00B27052" w:rsidRPr="00C9724A" w:rsidRDefault="00B27052" w:rsidP="00B27052">
      <w:pPr>
        <w:pStyle w:val="Default"/>
        <w:ind w:left="993"/>
      </w:pPr>
      <w:r w:rsidRPr="00C9724A">
        <w:t>d) pracownikami,</w:t>
      </w:r>
    </w:p>
    <w:p w:rsidR="00B27052" w:rsidRPr="00C9724A" w:rsidRDefault="00B27052" w:rsidP="00B27052">
      <w:pPr>
        <w:pStyle w:val="Default"/>
        <w:ind w:left="993"/>
      </w:pPr>
      <w:r w:rsidRPr="00C9724A">
        <w:t>e) istotnymi dostawcami lub partnerami biznesowymi,</w:t>
      </w:r>
    </w:p>
    <w:p w:rsidR="00B27052" w:rsidRPr="00C9724A" w:rsidRDefault="00B27052" w:rsidP="00B27052">
      <w:pPr>
        <w:pStyle w:val="Default"/>
        <w:ind w:left="993"/>
      </w:pPr>
      <w:r w:rsidRPr="00C9724A">
        <w:lastRenderedPageBreak/>
        <w:t>f) innymi powiązanymi stronami niż wymienione powyżej (np. podmiotami zależnymi).</w:t>
      </w:r>
    </w:p>
    <w:p w:rsidR="00C20867" w:rsidRPr="00C9724A" w:rsidRDefault="00603192" w:rsidP="00603192">
      <w:pPr>
        <w:pStyle w:val="Default"/>
      </w:pPr>
      <w:r w:rsidRPr="00C9724A">
        <w:t xml:space="preserve">3.  </w:t>
      </w:r>
      <w:r w:rsidR="00C20867" w:rsidRPr="00C9724A">
        <w:t xml:space="preserve">  </w:t>
      </w:r>
      <w:r w:rsidRPr="00C9724A">
        <w:t>Bank z uwagi na ochronę swoich interesów oraz konieczność przestrzegania prawa</w:t>
      </w:r>
      <w:r w:rsidR="00C20867" w:rsidRPr="00C9724A">
        <w:t xml:space="preserve"> </w:t>
      </w:r>
    </w:p>
    <w:p w:rsidR="00603192" w:rsidRPr="00C9724A" w:rsidRDefault="00C20867" w:rsidP="00603192">
      <w:pPr>
        <w:pStyle w:val="Default"/>
      </w:pPr>
      <w:r w:rsidRPr="00C9724A">
        <w:t xml:space="preserve">    </w:t>
      </w:r>
      <w:r w:rsidR="00603192" w:rsidRPr="00C9724A">
        <w:t xml:space="preserve"> </w:t>
      </w:r>
      <w:r w:rsidRPr="00C9724A">
        <w:t xml:space="preserve">  </w:t>
      </w:r>
      <w:r w:rsidR="00603192" w:rsidRPr="00C9724A">
        <w:t>zar</w:t>
      </w:r>
      <w:r w:rsidRPr="00C9724A">
        <w:t>ządza konfliktem interesów:</w:t>
      </w:r>
    </w:p>
    <w:p w:rsidR="00C20867" w:rsidRPr="00C9724A" w:rsidRDefault="00C20867" w:rsidP="002F6062">
      <w:pPr>
        <w:pStyle w:val="Default"/>
        <w:numPr>
          <w:ilvl w:val="0"/>
          <w:numId w:val="33"/>
        </w:numPr>
      </w:pPr>
      <w:r w:rsidRPr="00C9724A">
        <w:t>rzeczywistym</w:t>
      </w:r>
    </w:p>
    <w:p w:rsidR="00C20867" w:rsidRPr="00C9724A" w:rsidRDefault="00C20867" w:rsidP="002F6062">
      <w:pPr>
        <w:pStyle w:val="Default"/>
        <w:numPr>
          <w:ilvl w:val="0"/>
          <w:numId w:val="33"/>
        </w:numPr>
      </w:pPr>
      <w:r w:rsidRPr="00C9724A">
        <w:t>potencjalnym</w:t>
      </w:r>
    </w:p>
    <w:p w:rsidR="00B27052" w:rsidRPr="00C9724A" w:rsidRDefault="00B27052" w:rsidP="00B27052">
      <w:pPr>
        <w:jc w:val="center"/>
        <w:rPr>
          <w:b/>
          <w:strike/>
          <w:sz w:val="24"/>
          <w:szCs w:val="24"/>
        </w:rPr>
      </w:pPr>
    </w:p>
    <w:p w:rsidR="00B27052" w:rsidRPr="00C9724A" w:rsidRDefault="00430D0F" w:rsidP="00430D0F">
      <w:pPr>
        <w:pStyle w:val="Nagwek1"/>
        <w:jc w:val="center"/>
        <w:rPr>
          <w:color w:val="FF0000"/>
          <w:sz w:val="28"/>
          <w:szCs w:val="28"/>
        </w:rPr>
      </w:pPr>
      <w:bookmarkStart w:id="2" w:name="_Toc12183016"/>
      <w:r w:rsidRPr="00C9724A">
        <w:rPr>
          <w:sz w:val="28"/>
          <w:szCs w:val="28"/>
        </w:rPr>
        <w:t>III.</w:t>
      </w:r>
      <w:r w:rsidR="00B27052" w:rsidRPr="00C9724A">
        <w:rPr>
          <w:sz w:val="28"/>
          <w:szCs w:val="28"/>
        </w:rPr>
        <w:t xml:space="preserve"> Zasady</w:t>
      </w:r>
      <w:r w:rsidR="00C20867" w:rsidRPr="00C9724A">
        <w:rPr>
          <w:sz w:val="28"/>
          <w:szCs w:val="28"/>
        </w:rPr>
        <w:t xml:space="preserve"> i mechanizmy</w:t>
      </w:r>
      <w:r w:rsidR="00B27052" w:rsidRPr="00C9724A">
        <w:rPr>
          <w:sz w:val="28"/>
          <w:szCs w:val="28"/>
        </w:rPr>
        <w:t xml:space="preserve"> zapobiegania konfliktowi interesów</w:t>
      </w:r>
      <w:bookmarkEnd w:id="2"/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B27052" w:rsidP="00B27052">
      <w:pPr>
        <w:pStyle w:val="Akapitzlist"/>
        <w:ind w:left="0"/>
        <w:jc w:val="center"/>
        <w:rPr>
          <w:sz w:val="24"/>
          <w:szCs w:val="24"/>
        </w:rPr>
      </w:pPr>
    </w:p>
    <w:p w:rsidR="00B27052" w:rsidRPr="00C9724A" w:rsidRDefault="00EA19F9" w:rsidP="00B27052">
      <w:pPr>
        <w:pStyle w:val="Akapitzlist"/>
        <w:ind w:left="0"/>
        <w:jc w:val="center"/>
        <w:rPr>
          <w:sz w:val="24"/>
          <w:szCs w:val="24"/>
        </w:rPr>
      </w:pPr>
      <w:r w:rsidRPr="00C9724A">
        <w:rPr>
          <w:b/>
          <w:sz w:val="24"/>
          <w:szCs w:val="24"/>
        </w:rPr>
        <w:t>§ 5</w:t>
      </w:r>
      <w:r w:rsidR="00B27052" w:rsidRPr="00C9724A">
        <w:rPr>
          <w:b/>
          <w:sz w:val="24"/>
          <w:szCs w:val="24"/>
        </w:rPr>
        <w:t>.</w:t>
      </w:r>
    </w:p>
    <w:p w:rsidR="00B27052" w:rsidRPr="00C9724A" w:rsidRDefault="00B27052" w:rsidP="002F6062">
      <w:pPr>
        <w:pStyle w:val="Akapitzlist"/>
        <w:numPr>
          <w:ilvl w:val="0"/>
          <w:numId w:val="24"/>
        </w:numPr>
        <w:autoSpaceDE w:val="0"/>
        <w:autoSpaceDN w:val="0"/>
        <w:adjustRightInd w:val="0"/>
        <w:contextualSpacing/>
        <w:rPr>
          <w:sz w:val="24"/>
          <w:szCs w:val="24"/>
        </w:rPr>
      </w:pPr>
      <w:r w:rsidRPr="00C9724A">
        <w:rPr>
          <w:sz w:val="24"/>
          <w:szCs w:val="24"/>
        </w:rPr>
        <w:t>Bank ustala następujące zasady w zakresie zapobiegania konfliktowi interesów:</w:t>
      </w:r>
    </w:p>
    <w:p w:rsidR="00B27052" w:rsidRPr="00C9724A" w:rsidRDefault="005B7726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o</w:t>
      </w:r>
      <w:r w:rsidR="00B27052" w:rsidRPr="00C9724A">
        <w:rPr>
          <w:color w:val="000000"/>
          <w:sz w:val="24"/>
          <w:szCs w:val="24"/>
        </w:rPr>
        <w:t>soby powiązane</w:t>
      </w:r>
      <w:r w:rsidR="000B6479" w:rsidRPr="00C9724A">
        <w:rPr>
          <w:sz w:val="24"/>
          <w:szCs w:val="24"/>
        </w:rPr>
        <w:t>,</w:t>
      </w:r>
      <w:r w:rsidR="00B27052" w:rsidRPr="00C9724A">
        <w:rPr>
          <w:color w:val="000000"/>
          <w:sz w:val="24"/>
          <w:szCs w:val="24"/>
        </w:rPr>
        <w:t xml:space="preserve"> w tym członkowie organów Banku</w:t>
      </w:r>
      <w:r w:rsidR="000B6479" w:rsidRPr="00C9724A">
        <w:rPr>
          <w:sz w:val="24"/>
          <w:szCs w:val="24"/>
        </w:rPr>
        <w:t>,</w:t>
      </w:r>
      <w:r w:rsidR="00B27052" w:rsidRPr="00C9724A">
        <w:rPr>
          <w:color w:val="000000"/>
          <w:sz w:val="24"/>
          <w:szCs w:val="24"/>
        </w:rPr>
        <w:t xml:space="preserve"> zobowiązani są do unikania działań, które mogą spowodować lub powodują możliwość wystąpienia konfliktu interesów;</w:t>
      </w:r>
    </w:p>
    <w:p w:rsidR="00C20867" w:rsidRPr="00C9724A" w:rsidRDefault="00C20867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członkowie Zarządu oraz osoby pełniące kluczowe funkcje w Banku nie mogą pełnić dodatkowych funkcji w podmiocie zależnym lub innym podmiocie należącym do grupy, w której znajduje się Bank, jeżeli mogłoby to negatywnie wpłynąć na efektowność wykonywanych obowiązków w Banku, w szczególności nie gwarantowałoby poświęcania niezbędnej ilości czasu na wykonywanie funkcji Banku lub powodowałoby powstanie konfliktu interesów osłabiających niezależność osądu wobec funkcji pełnionej w Banku;</w:t>
      </w:r>
    </w:p>
    <w:p w:rsidR="00B27052" w:rsidRPr="00C9724A" w:rsidRDefault="005B7726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c</w:t>
      </w:r>
      <w:r w:rsidR="00B27052" w:rsidRPr="00C9724A">
        <w:rPr>
          <w:color w:val="000000"/>
          <w:sz w:val="24"/>
          <w:szCs w:val="24"/>
        </w:rPr>
        <w:t>złonkowie Zarządu Banku mogą zasiadać w organach innych podmiotów po uzyska</w:t>
      </w:r>
      <w:r w:rsidR="00EA6B9F" w:rsidRPr="00C9724A">
        <w:rPr>
          <w:color w:val="000000"/>
          <w:sz w:val="24"/>
          <w:szCs w:val="24"/>
        </w:rPr>
        <w:t>niu zgody Rady Nadzorczej Banku z uwzględnieniem wytycznych Komisji Nadzoru Finansowego;</w:t>
      </w:r>
    </w:p>
    <w:p w:rsidR="00B27052" w:rsidRPr="00C9724A" w:rsidRDefault="00B27052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color w:val="000000"/>
          <w:sz w:val="24"/>
          <w:szCs w:val="24"/>
        </w:rPr>
        <w:t>obowiązkiem osoby powiązanej</w:t>
      </w:r>
      <w:r w:rsidR="005B7726" w:rsidRPr="00C9724A">
        <w:rPr>
          <w:color w:val="000000"/>
          <w:sz w:val="24"/>
          <w:szCs w:val="24"/>
        </w:rPr>
        <w:t>,</w:t>
      </w:r>
      <w:r w:rsidRPr="00C9724A">
        <w:rPr>
          <w:color w:val="000000"/>
          <w:sz w:val="24"/>
          <w:szCs w:val="24"/>
        </w:rPr>
        <w:t xml:space="preserve"> w tym</w:t>
      </w:r>
      <w:r w:rsidRPr="00C9724A">
        <w:rPr>
          <w:color w:val="00B050"/>
          <w:sz w:val="24"/>
          <w:szCs w:val="24"/>
        </w:rPr>
        <w:t xml:space="preserve"> </w:t>
      </w:r>
      <w:r w:rsidR="005B7726" w:rsidRPr="00C9724A">
        <w:rPr>
          <w:sz w:val="24"/>
          <w:szCs w:val="24"/>
        </w:rPr>
        <w:t>cz</w:t>
      </w:r>
      <w:r w:rsidRPr="00C9724A">
        <w:rPr>
          <w:sz w:val="24"/>
          <w:szCs w:val="24"/>
        </w:rPr>
        <w:t xml:space="preserve">łonka organu Banku </w:t>
      </w:r>
      <w:r w:rsidR="006A628E" w:rsidRPr="00C9724A">
        <w:rPr>
          <w:sz w:val="24"/>
          <w:szCs w:val="24"/>
        </w:rPr>
        <w:t xml:space="preserve">oraz pracownika </w:t>
      </w:r>
      <w:r w:rsidRPr="00C9724A">
        <w:rPr>
          <w:sz w:val="24"/>
          <w:szCs w:val="24"/>
        </w:rPr>
        <w:t>jest ujawnienie wszelkich spraw, które spowodowały lub mogą powodować konflikt interesu;</w:t>
      </w:r>
      <w:r w:rsidR="005B7726" w:rsidRPr="00C9724A">
        <w:rPr>
          <w:sz w:val="24"/>
          <w:szCs w:val="24"/>
        </w:rPr>
        <w:t xml:space="preserve"> dotyczy to też interesów ich najbliższych członków rodziny;  powinno się odpowiednio uwzględniać fakt, że konflikty interesów mogą wynikać nie tylko z obecnych, ale także z przeszłych relacji osobistych lub zawodowych;</w:t>
      </w:r>
    </w:p>
    <w:p w:rsidR="00B27052" w:rsidRPr="00C9724A" w:rsidRDefault="00B27052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obowiązkiem </w:t>
      </w:r>
      <w:r w:rsidR="005B7726" w:rsidRPr="00C9724A">
        <w:rPr>
          <w:sz w:val="24"/>
          <w:szCs w:val="24"/>
        </w:rPr>
        <w:t>c</w:t>
      </w:r>
      <w:r w:rsidRPr="00C9724A">
        <w:rPr>
          <w:sz w:val="24"/>
          <w:szCs w:val="24"/>
        </w:rPr>
        <w:t xml:space="preserve">złonka organu Banku </w:t>
      </w:r>
      <w:r w:rsidR="005B7726" w:rsidRPr="00C9724A">
        <w:rPr>
          <w:sz w:val="24"/>
          <w:szCs w:val="24"/>
        </w:rPr>
        <w:t xml:space="preserve">lub pracownika </w:t>
      </w:r>
      <w:r w:rsidRPr="00C9724A">
        <w:rPr>
          <w:sz w:val="24"/>
          <w:szCs w:val="24"/>
        </w:rPr>
        <w:t xml:space="preserve">jest wyłączenie się </w:t>
      </w:r>
      <w:r w:rsidR="0002147F" w:rsidRPr="00C9724A">
        <w:rPr>
          <w:sz w:val="24"/>
          <w:szCs w:val="24"/>
        </w:rPr>
        <w:t xml:space="preserve">odpowiednio </w:t>
      </w:r>
      <w:r w:rsidRPr="00C9724A">
        <w:rPr>
          <w:sz w:val="24"/>
          <w:szCs w:val="24"/>
        </w:rPr>
        <w:t>od głosowania lub podejmowania decyzji w sprawach, gdzie występuje konflikt interesu lub występuje inna możliwość niekorzystnego wpływu na poziom obiektywizmu podejmowanej decyzji, albo właściwej realizacji obowiązków wobec Banku;</w:t>
      </w:r>
    </w:p>
    <w:p w:rsidR="00B27052" w:rsidRPr="00C9724A" w:rsidRDefault="00B27052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 Banku stosowane są odpowiednie procedury zawierania transak</w:t>
      </w:r>
      <w:r w:rsidR="005B7726" w:rsidRPr="00C9724A">
        <w:rPr>
          <w:sz w:val="24"/>
          <w:szCs w:val="24"/>
        </w:rPr>
        <w:t>cji z podmiotami zależnymi lub c</w:t>
      </w:r>
      <w:r w:rsidRPr="00C9724A">
        <w:rPr>
          <w:sz w:val="24"/>
          <w:szCs w:val="24"/>
        </w:rPr>
        <w:t>złonkami organów Banku;</w:t>
      </w:r>
    </w:p>
    <w:p w:rsidR="00B27052" w:rsidRPr="00C9724A" w:rsidRDefault="00B27052" w:rsidP="002F60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 Banku stosowany jest podział zadań oraz procedury zapewniające zapobieganie konfliktowi interesów oraz ryzyku, wynikających z powiązań pe</w:t>
      </w:r>
      <w:r w:rsidR="00C20867" w:rsidRPr="00C9724A">
        <w:rPr>
          <w:sz w:val="24"/>
          <w:szCs w:val="24"/>
        </w:rPr>
        <w:t>rsonalnych, o których mowa w § 8</w:t>
      </w:r>
      <w:r w:rsidRPr="00C9724A">
        <w:rPr>
          <w:sz w:val="24"/>
          <w:szCs w:val="24"/>
        </w:rPr>
        <w:t>.</w:t>
      </w:r>
    </w:p>
    <w:p w:rsidR="00B27052" w:rsidRPr="00C9724A" w:rsidRDefault="00B27052" w:rsidP="002F6062">
      <w:pPr>
        <w:pStyle w:val="Default"/>
        <w:numPr>
          <w:ilvl w:val="0"/>
          <w:numId w:val="25"/>
        </w:numPr>
        <w:spacing w:line="360" w:lineRule="auto"/>
        <w:ind w:left="426" w:hanging="284"/>
        <w:jc w:val="both"/>
      </w:pPr>
      <w:r w:rsidRPr="00C9724A">
        <w:t>Bank ustala odpowiednie zasady zawierania przez Bank transakcji</w:t>
      </w:r>
      <w:r w:rsidR="00C20867" w:rsidRPr="00C9724A">
        <w:t xml:space="preserve"> (regulacje wewnętrzne ) dotyczące transakcji</w:t>
      </w:r>
      <w:r w:rsidRPr="00C9724A">
        <w:t xml:space="preserve"> z:</w:t>
      </w:r>
    </w:p>
    <w:p w:rsidR="00B27052" w:rsidRPr="00C9724A" w:rsidRDefault="00B27052" w:rsidP="002F6062">
      <w:pPr>
        <w:pStyle w:val="Default"/>
        <w:numPr>
          <w:ilvl w:val="0"/>
          <w:numId w:val="11"/>
        </w:numPr>
        <w:ind w:left="709" w:hanging="370"/>
        <w:jc w:val="both"/>
      </w:pPr>
      <w:r w:rsidRPr="00C9724A">
        <w:t xml:space="preserve">członkami organów, a także podmiotami powiązanymi z członkami organów i osobami na stanowiskach kierowniczych, </w:t>
      </w:r>
    </w:p>
    <w:p w:rsidR="00B27052" w:rsidRPr="00C9724A" w:rsidRDefault="00B27052" w:rsidP="002F6062">
      <w:pPr>
        <w:pStyle w:val="Default"/>
        <w:numPr>
          <w:ilvl w:val="0"/>
          <w:numId w:val="11"/>
        </w:numPr>
        <w:ind w:left="709" w:hanging="370"/>
        <w:jc w:val="both"/>
      </w:pPr>
      <w:r w:rsidRPr="00C9724A">
        <w:t xml:space="preserve">pracownikami, w </w:t>
      </w:r>
      <w:r w:rsidR="00EA19F9" w:rsidRPr="00C9724A">
        <w:t>tym pełniących kluczowe funkcje lub funkcje kierownicze,</w:t>
      </w:r>
      <w:r w:rsidRPr="00C9724A">
        <w:t xml:space="preserve"> a także podmiotami </w:t>
      </w:r>
      <w:r w:rsidR="006A628E" w:rsidRPr="00C9724A">
        <w:t>powiązanymi</w:t>
      </w:r>
      <w:r w:rsidR="00EA19F9" w:rsidRPr="00C9724A">
        <w:t xml:space="preserve"> kapitałowo lub organizacyjnie</w:t>
      </w:r>
      <w:r w:rsidR="006A628E" w:rsidRPr="00C9724A">
        <w:t xml:space="preserve"> z tymi pracownikami;</w:t>
      </w:r>
    </w:p>
    <w:p w:rsidR="00B27052" w:rsidRPr="00C9724A" w:rsidRDefault="00B27052" w:rsidP="002F6062">
      <w:pPr>
        <w:pStyle w:val="Default"/>
        <w:numPr>
          <w:ilvl w:val="0"/>
          <w:numId w:val="11"/>
        </w:numPr>
        <w:ind w:left="709" w:hanging="370"/>
        <w:jc w:val="both"/>
      </w:pPr>
      <w:r w:rsidRPr="00C9724A">
        <w:t>członkami Banku.</w:t>
      </w:r>
    </w:p>
    <w:p w:rsidR="00B27052" w:rsidRPr="00C9724A" w:rsidRDefault="00B27052" w:rsidP="002F6062">
      <w:pPr>
        <w:pStyle w:val="Default"/>
        <w:numPr>
          <w:ilvl w:val="0"/>
          <w:numId w:val="25"/>
        </w:numPr>
        <w:ind w:left="426" w:hanging="284"/>
        <w:jc w:val="both"/>
      </w:pPr>
      <w:r w:rsidRPr="00C9724A">
        <w:lastRenderedPageBreak/>
        <w:t>Stosowany jest podział zadań, decyzyjności i procedury zapewniające zapobieganie konfliktowi interesów oraz konfliktowi personalnemu, w szczególności w zakresie podejmowania decyzji i zawierania transakcji mogących rodzić konflikt interesów.</w:t>
      </w:r>
    </w:p>
    <w:p w:rsidR="00B27052" w:rsidRPr="00C9724A" w:rsidRDefault="00B27052" w:rsidP="00B27052">
      <w:pPr>
        <w:pStyle w:val="Akapitzlist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:rsidR="00B27052" w:rsidRPr="00C9724A" w:rsidRDefault="00B27052" w:rsidP="00B27052">
      <w:pPr>
        <w:rPr>
          <w:b/>
          <w:sz w:val="24"/>
          <w:szCs w:val="24"/>
        </w:rPr>
      </w:pPr>
    </w:p>
    <w:p w:rsidR="005B7726" w:rsidRPr="00C9724A" w:rsidRDefault="005B7726" w:rsidP="00B27052">
      <w:pPr>
        <w:rPr>
          <w:b/>
          <w:sz w:val="24"/>
          <w:szCs w:val="24"/>
        </w:rPr>
      </w:pPr>
    </w:p>
    <w:p w:rsidR="005B7726" w:rsidRPr="00C9724A" w:rsidRDefault="005B7726" w:rsidP="00B27052">
      <w:pPr>
        <w:rPr>
          <w:b/>
          <w:sz w:val="24"/>
          <w:szCs w:val="24"/>
        </w:rPr>
      </w:pPr>
    </w:p>
    <w:p w:rsidR="00B27052" w:rsidRPr="00C9724A" w:rsidRDefault="00430D0F" w:rsidP="00430D0F">
      <w:pPr>
        <w:pStyle w:val="Nagwek1"/>
        <w:jc w:val="center"/>
        <w:rPr>
          <w:sz w:val="28"/>
          <w:szCs w:val="28"/>
        </w:rPr>
      </w:pPr>
      <w:bookmarkStart w:id="3" w:name="_Toc12183017"/>
      <w:r w:rsidRPr="00C9724A">
        <w:rPr>
          <w:sz w:val="28"/>
          <w:szCs w:val="28"/>
        </w:rPr>
        <w:t xml:space="preserve">IV. </w:t>
      </w:r>
      <w:r w:rsidR="00B27052" w:rsidRPr="00C9724A">
        <w:rPr>
          <w:sz w:val="28"/>
          <w:szCs w:val="28"/>
        </w:rPr>
        <w:t>Rada Nadzorcza Banku</w:t>
      </w:r>
      <w:bookmarkEnd w:id="3"/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EA19F9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6</w:t>
      </w:r>
      <w:r w:rsidR="00B27052" w:rsidRPr="00C9724A">
        <w:rPr>
          <w:b/>
          <w:sz w:val="24"/>
          <w:szCs w:val="24"/>
        </w:rPr>
        <w:t>.</w:t>
      </w:r>
    </w:p>
    <w:p w:rsidR="00B27052" w:rsidRPr="00C9724A" w:rsidRDefault="00B27052" w:rsidP="002F6062">
      <w:pPr>
        <w:numPr>
          <w:ilvl w:val="0"/>
          <w:numId w:val="23"/>
        </w:numPr>
        <w:jc w:val="both"/>
        <w:rPr>
          <w:sz w:val="24"/>
          <w:szCs w:val="24"/>
        </w:rPr>
      </w:pPr>
      <w:r w:rsidRPr="00C9724A">
        <w:rPr>
          <w:sz w:val="24"/>
          <w:szCs w:val="24"/>
        </w:rPr>
        <w:t>Nadzór nad przestrzeganiem zasad Polityki w Banku sprawuje Rada Nadzorcza.</w:t>
      </w:r>
    </w:p>
    <w:p w:rsidR="00B27052" w:rsidRPr="00C9724A" w:rsidRDefault="00B27052" w:rsidP="002F6062">
      <w:pPr>
        <w:numPr>
          <w:ilvl w:val="0"/>
          <w:numId w:val="23"/>
        </w:numPr>
        <w:jc w:val="both"/>
        <w:rPr>
          <w:sz w:val="24"/>
          <w:szCs w:val="24"/>
        </w:rPr>
      </w:pPr>
      <w:r w:rsidRPr="00C9724A">
        <w:rPr>
          <w:sz w:val="24"/>
          <w:szCs w:val="24"/>
        </w:rPr>
        <w:t>Rada Nadzorcza powinna w szczególny sposób uwzględniać zasady zapobiegania konfliktowi interesów w zakresie działań Rady Nadzorczej jako organu kolegialnego, jak również jej poszczególnych członków.</w:t>
      </w:r>
    </w:p>
    <w:p w:rsidR="00B27052" w:rsidRPr="00C9724A" w:rsidRDefault="00B27052" w:rsidP="002F6062">
      <w:pPr>
        <w:numPr>
          <w:ilvl w:val="0"/>
          <w:numId w:val="23"/>
        </w:numPr>
        <w:jc w:val="both"/>
        <w:rPr>
          <w:sz w:val="24"/>
          <w:szCs w:val="24"/>
        </w:rPr>
      </w:pPr>
      <w:r w:rsidRPr="00C9724A">
        <w:rPr>
          <w:sz w:val="24"/>
          <w:szCs w:val="24"/>
        </w:rPr>
        <w:t>Członkowie Rady Nadzorczej powinni powstrzymywać się od podejmowania aktywności zawodowej lub pozazawodowej, która mogłaby prowadzić do powstania konfliktu interesów lub w inny sposób wpływać negatywnie na reputację Banku, przy czym powyższe nie dotyczy wykonywania funkcji w organach Banków Spółdzielczych zrzeszonych lub współpracujących z Bankiem na zasadach określonych przepisami prawa, Statutem Banku lub Umową Zrzeszenia.</w:t>
      </w:r>
    </w:p>
    <w:p w:rsidR="00B27052" w:rsidRPr="00C9724A" w:rsidRDefault="00B27052" w:rsidP="002F606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Wprowadza się zasadę wyłączania członka Rady Nadzorczej z procesu decyzyjnego w przypadku zaistnienia konfliktu interesów lub możliwości jego zaistnienia, na czas procedowania sprawy, której konflikt interesów dotyczy.</w:t>
      </w:r>
    </w:p>
    <w:p w:rsidR="00B27052" w:rsidRPr="00C9724A" w:rsidRDefault="00B27052" w:rsidP="002F606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Rad</w:t>
      </w:r>
      <w:r w:rsidR="00EA19F9" w:rsidRPr="00C9724A">
        <w:rPr>
          <w:sz w:val="24"/>
          <w:szCs w:val="24"/>
        </w:rPr>
        <w:t>a Nadzorcza wyraża zgodę na podejmowanie dodatkowej działalności przez Członków Zarządu;</w:t>
      </w:r>
    </w:p>
    <w:p w:rsidR="00B27052" w:rsidRPr="00C9724A" w:rsidRDefault="00B27052" w:rsidP="002F606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Rada Nadzorcza, korzystając z wyników sprawozdawczości z przeglądów zarządczych struktury organizacyjnej, wyników audytu wewnętrznego, wyników analizy ryzyka braku zgodności, treści ewentualnych opinii prawnych, a także odpowiedniej dokumentacji kadrowej, treści protokołów z posiedzeń Zarządu, sprawuje nadzór nad wprowadzonymi przez Zarząd rozwiązaniami organizacyjnymi oraz procedurami, mającymi na celu ograniczenie występowania konfliktu interesów, zapewniających w szczególności: </w:t>
      </w:r>
    </w:p>
    <w:p w:rsidR="00B27052" w:rsidRPr="00C9724A" w:rsidRDefault="00B27052" w:rsidP="002F6062">
      <w:pPr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rozdzielenie funkcji kierowania i zwierzchności organizacyjnej nad jednostkami i komórkami operacyjnymi w Banku (w tym uwzględniające podejmowanie decyzji w okresie zastępstw Członków Zarządu);</w:t>
      </w:r>
    </w:p>
    <w:p w:rsidR="00B27052" w:rsidRPr="00C9724A" w:rsidRDefault="00B27052" w:rsidP="002F6062">
      <w:pPr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niezależność i obiektywizm sprawowanej kontroli wewnętrznej;</w:t>
      </w:r>
    </w:p>
    <w:p w:rsidR="00B27052" w:rsidRPr="00C9724A" w:rsidRDefault="00B27052" w:rsidP="002F6062">
      <w:pPr>
        <w:numPr>
          <w:ilvl w:val="0"/>
          <w:numId w:val="2"/>
        </w:num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przestrzeganie określonych w Banku zasad podejmowania decyzji.</w:t>
      </w:r>
    </w:p>
    <w:p w:rsidR="00B27052" w:rsidRPr="00C9724A" w:rsidRDefault="00B27052" w:rsidP="00B27052">
      <w:pPr>
        <w:jc w:val="both"/>
        <w:rPr>
          <w:sz w:val="24"/>
          <w:szCs w:val="24"/>
        </w:rPr>
      </w:pPr>
    </w:p>
    <w:p w:rsidR="00B27052" w:rsidRPr="00C9724A" w:rsidRDefault="00430D0F" w:rsidP="00430D0F">
      <w:pPr>
        <w:pStyle w:val="Nagwek1"/>
        <w:jc w:val="center"/>
        <w:rPr>
          <w:sz w:val="28"/>
          <w:szCs w:val="28"/>
        </w:rPr>
      </w:pPr>
      <w:bookmarkStart w:id="4" w:name="_Toc12183018"/>
      <w:r w:rsidRPr="00C9724A">
        <w:rPr>
          <w:sz w:val="28"/>
          <w:szCs w:val="28"/>
        </w:rPr>
        <w:t xml:space="preserve">V. </w:t>
      </w:r>
      <w:r w:rsidR="00B27052" w:rsidRPr="00C9724A">
        <w:rPr>
          <w:sz w:val="28"/>
          <w:szCs w:val="28"/>
        </w:rPr>
        <w:t>Zarząd Banku</w:t>
      </w:r>
      <w:bookmarkEnd w:id="4"/>
    </w:p>
    <w:p w:rsidR="00B27052" w:rsidRPr="00C9724A" w:rsidRDefault="00B27052" w:rsidP="00B27052">
      <w:pPr>
        <w:pStyle w:val="Tekstpodstawowy1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B27052" w:rsidRPr="00C9724A" w:rsidRDefault="00EA19F9" w:rsidP="00B27052">
      <w:pPr>
        <w:pStyle w:val="Tekstpodstawowy1"/>
        <w:shd w:val="clear" w:color="auto" w:fill="auto"/>
        <w:spacing w:after="0" w:line="240" w:lineRule="auto"/>
        <w:ind w:right="20" w:firstLine="0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7</w:t>
      </w:r>
      <w:r w:rsidR="00B27052" w:rsidRPr="00C9724A">
        <w:rPr>
          <w:b/>
          <w:sz w:val="24"/>
          <w:szCs w:val="24"/>
        </w:rPr>
        <w:t>.</w:t>
      </w:r>
    </w:p>
    <w:p w:rsidR="00B27052" w:rsidRPr="00C9724A" w:rsidRDefault="00B27052" w:rsidP="002F6062">
      <w:pPr>
        <w:pStyle w:val="Tekstpodstawowy1"/>
        <w:numPr>
          <w:ilvl w:val="0"/>
          <w:numId w:val="20"/>
        </w:numPr>
        <w:shd w:val="clear" w:color="auto" w:fill="auto"/>
        <w:spacing w:after="0" w:line="240" w:lineRule="auto"/>
        <w:ind w:left="426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Przydzielenie zadań poszczególnym Członkom Zarządu Banku lub wskazanie obszarów odpowiedzialności następuje z uwzględnieniem zasady minimalizowania ryzyka wystąpienia konfliktu interesów.</w:t>
      </w:r>
    </w:p>
    <w:p w:rsidR="00B27052" w:rsidRPr="00C9724A" w:rsidRDefault="00B27052" w:rsidP="002F6062">
      <w:pPr>
        <w:pStyle w:val="Tekstpodstawowy1"/>
        <w:numPr>
          <w:ilvl w:val="0"/>
          <w:numId w:val="20"/>
        </w:numPr>
        <w:shd w:val="clear" w:color="auto" w:fill="auto"/>
        <w:spacing w:after="0" w:line="240" w:lineRule="auto"/>
        <w:ind w:left="426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Członkowie Zarządu aktywnie angażują się w działalność Banku, podejmują własne prawidłowe decyzje, kierując się zasadami obiektywizmu, autonomii i doświadczenia życiowego.</w:t>
      </w:r>
    </w:p>
    <w:p w:rsidR="00B27052" w:rsidRPr="00C9724A" w:rsidRDefault="00B27052" w:rsidP="002F6062">
      <w:pPr>
        <w:pStyle w:val="Tekstpodstawowy1"/>
        <w:numPr>
          <w:ilvl w:val="0"/>
          <w:numId w:val="20"/>
        </w:numPr>
        <w:shd w:val="clear" w:color="auto" w:fill="auto"/>
        <w:spacing w:after="0" w:line="240" w:lineRule="auto"/>
        <w:ind w:left="426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Skład Zarządu ustala się w taki sposób, aby indywidualne kompetencje poszczególnych jego Członków dopełniały się umożliwiając zapewnienie odpowiedniego poziomu </w:t>
      </w:r>
      <w:r w:rsidRPr="00C9724A">
        <w:rPr>
          <w:sz w:val="24"/>
          <w:szCs w:val="24"/>
        </w:rPr>
        <w:lastRenderedPageBreak/>
        <w:t>przygotowania merytorycznego do kolegialnego zarządzania Bankiem. Doboru składu Zarządu w celu zapewnienia możliwie najlepszego wsparcia Zarządu pod względem merytorycznym i organizacyjnym, dokonuje się zgodnie z Procedurą dokonywania ocen odpowiedniości kandydatów na członków Zarządu Banku, a także oceny Zarządu Banku oraz jego członków w trakcie kadencji.</w:t>
      </w:r>
    </w:p>
    <w:p w:rsidR="00B27052" w:rsidRPr="00C9724A" w:rsidRDefault="00B27052" w:rsidP="002F6062">
      <w:pPr>
        <w:pStyle w:val="Tekstpodstawowy1"/>
        <w:numPr>
          <w:ilvl w:val="0"/>
          <w:numId w:val="20"/>
        </w:numPr>
        <w:shd w:val="clear" w:color="auto" w:fill="auto"/>
        <w:spacing w:after="0" w:line="240" w:lineRule="auto"/>
        <w:ind w:left="426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Wprowadza się formalne zasady wyłączania członka Zarządu z procesu decyzyjnego w przypadku zaistnienia konfliktu interesów lub możliwości jego zaistnienia.</w:t>
      </w: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430D0F" w:rsidP="00430D0F">
      <w:pPr>
        <w:pStyle w:val="Nagwek1"/>
        <w:jc w:val="center"/>
        <w:rPr>
          <w:sz w:val="28"/>
          <w:szCs w:val="28"/>
        </w:rPr>
      </w:pPr>
      <w:bookmarkStart w:id="5" w:name="_Toc12183019"/>
      <w:r w:rsidRPr="00C9724A">
        <w:rPr>
          <w:sz w:val="28"/>
          <w:szCs w:val="28"/>
        </w:rPr>
        <w:t xml:space="preserve">VI. </w:t>
      </w:r>
      <w:r w:rsidR="00B27052" w:rsidRPr="00C9724A">
        <w:rPr>
          <w:sz w:val="28"/>
          <w:szCs w:val="28"/>
        </w:rPr>
        <w:t>Powiązania personalne</w:t>
      </w:r>
      <w:bookmarkEnd w:id="5"/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EA19F9" w:rsidP="00B27052">
      <w:pPr>
        <w:pStyle w:val="Tekstpodstawowy1"/>
        <w:shd w:val="clear" w:color="auto" w:fill="auto"/>
        <w:spacing w:after="0" w:line="240" w:lineRule="auto"/>
        <w:ind w:right="20" w:firstLine="0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8</w:t>
      </w:r>
      <w:r w:rsidR="00B27052" w:rsidRPr="00C9724A">
        <w:rPr>
          <w:b/>
          <w:sz w:val="24"/>
          <w:szCs w:val="24"/>
        </w:rPr>
        <w:t>.</w:t>
      </w:r>
    </w:p>
    <w:p w:rsidR="0017350F" w:rsidRPr="00C9724A" w:rsidRDefault="0017350F" w:rsidP="002F6062">
      <w:pPr>
        <w:pStyle w:val="Default"/>
        <w:numPr>
          <w:ilvl w:val="0"/>
          <w:numId w:val="6"/>
        </w:numPr>
        <w:spacing w:after="100" w:afterAutospacing="1"/>
        <w:jc w:val="both"/>
      </w:pPr>
      <w:r w:rsidRPr="00C9724A">
        <w:t>Powiązania personalne to związki, stosunki, relacje personalne o różnym charakterze, które występują między osobami fizycznymi w warunkach gospodarczych. Powiązania personalne  dotyczą relacji między podmiotami o charakterze rodzinnym, majątkowym oraz wynikającym ze stosunku pracy.</w:t>
      </w:r>
    </w:p>
    <w:p w:rsidR="00B27052" w:rsidRPr="00C9724A" w:rsidRDefault="00B27052" w:rsidP="002F6062">
      <w:pPr>
        <w:pStyle w:val="Default"/>
        <w:numPr>
          <w:ilvl w:val="0"/>
          <w:numId w:val="6"/>
        </w:numPr>
        <w:spacing w:after="100" w:afterAutospacing="1"/>
        <w:ind w:left="357" w:hanging="357"/>
        <w:jc w:val="both"/>
        <w:rPr>
          <w:color w:val="auto"/>
        </w:rPr>
      </w:pPr>
      <w:r w:rsidRPr="00C9724A">
        <w:rPr>
          <w:color w:val="auto"/>
        </w:rPr>
        <w:t>Bank dąży do wyeliminowania ryzyka operacyjnego, wynikającego z powiązań personalnych osób, których zakres obowiązków jest kluczowy z punktu widzenia występującego w Banku ryzyka.</w:t>
      </w:r>
    </w:p>
    <w:p w:rsidR="00B27052" w:rsidRPr="00C9724A" w:rsidRDefault="00B27052" w:rsidP="002F6062">
      <w:pPr>
        <w:pStyle w:val="Default"/>
        <w:numPr>
          <w:ilvl w:val="0"/>
          <w:numId w:val="6"/>
        </w:numPr>
        <w:ind w:left="357" w:hanging="357"/>
        <w:jc w:val="both"/>
        <w:rPr>
          <w:color w:val="auto"/>
        </w:rPr>
      </w:pPr>
      <w:r w:rsidRPr="00C9724A">
        <w:rPr>
          <w:color w:val="auto"/>
        </w:rPr>
        <w:t>W Banku są określone akceptowalne zależności służbowe w związku z występowaniem powiązań personalnych, w tym powiązania personalne pomiędzy pracownikami w przypadku, gdy nie zachodzi pomiędzy nimi bezpośrednia podległość służbowa, lub nie mają wzajemnego wpływu na zakres i realizację swoich obowiązków.</w:t>
      </w:r>
      <w:r w:rsidRPr="00C9724A" w:rsidDel="00457B31">
        <w:rPr>
          <w:color w:val="auto"/>
        </w:rPr>
        <w:t xml:space="preserve"> </w:t>
      </w:r>
    </w:p>
    <w:p w:rsidR="00B27052" w:rsidRPr="00C9724A" w:rsidRDefault="00B27052" w:rsidP="002F6062">
      <w:pPr>
        <w:pStyle w:val="Default"/>
        <w:numPr>
          <w:ilvl w:val="0"/>
          <w:numId w:val="6"/>
        </w:numPr>
        <w:spacing w:after="100" w:afterAutospacing="1"/>
        <w:ind w:left="357" w:hanging="357"/>
        <w:jc w:val="both"/>
      </w:pPr>
      <w:r w:rsidRPr="00C9724A">
        <w:t>W Banku za powiązania personalne uznaje się powiązania o charakterze rodzinnym wynikające z małżeństwa, pokrewieństwa lub powinowactwa w linii prostej i w drugim stopniu linii bocznej.</w:t>
      </w:r>
    </w:p>
    <w:p w:rsidR="0017350F" w:rsidRPr="00C9724A" w:rsidRDefault="0017350F" w:rsidP="002F6062">
      <w:pPr>
        <w:pStyle w:val="Default"/>
        <w:numPr>
          <w:ilvl w:val="0"/>
          <w:numId w:val="6"/>
        </w:numPr>
        <w:spacing w:after="100" w:afterAutospacing="1"/>
        <w:jc w:val="both"/>
      </w:pPr>
      <w:r w:rsidRPr="00C9724A">
        <w:t xml:space="preserve">Weryfikacja powiązań personalnych osób zatrudnionych w Banku na wszystkich stanowiskach pracy, ze szczególnym uwzględnieniem </w:t>
      </w:r>
      <w:r w:rsidR="00EA19F9" w:rsidRPr="00C9724A">
        <w:t xml:space="preserve">pracowników pełniących kluczowe funkcje lub stanowisk </w:t>
      </w:r>
      <w:r w:rsidRPr="00C9724A">
        <w:t xml:space="preserve">kierowniczych, ma na celu </w:t>
      </w:r>
      <w:r w:rsidR="00456188" w:rsidRPr="00C9724A">
        <w:t>unikanie nieprawidłowości w procesie decyzyjnym</w:t>
      </w:r>
      <w:r w:rsidRPr="00C9724A">
        <w:t>.</w:t>
      </w:r>
    </w:p>
    <w:p w:rsidR="0017350F" w:rsidRPr="00C9724A" w:rsidRDefault="0017350F" w:rsidP="002F6062">
      <w:pPr>
        <w:pStyle w:val="Default"/>
        <w:numPr>
          <w:ilvl w:val="0"/>
          <w:numId w:val="6"/>
        </w:numPr>
        <w:spacing w:after="100" w:afterAutospacing="1"/>
        <w:jc w:val="both"/>
      </w:pPr>
      <w:r w:rsidRPr="00C9724A">
        <w:t>W przypadku zaistnienia powiązań personalnych pomiędzy pracownikami, Bank podejmuje stosowne działania mające na celu wyeliminowanie ryzyka operacyjnego, które mogłoby prowadzić do nadużyć ze strony pracowników.</w:t>
      </w:r>
    </w:p>
    <w:p w:rsidR="00B27052" w:rsidRPr="00C9724A" w:rsidRDefault="00456188" w:rsidP="002F6062">
      <w:pPr>
        <w:pStyle w:val="Default"/>
        <w:numPr>
          <w:ilvl w:val="0"/>
          <w:numId w:val="6"/>
        </w:numPr>
        <w:spacing w:after="100" w:afterAutospacing="1"/>
        <w:ind w:left="357" w:hanging="357"/>
        <w:jc w:val="both"/>
      </w:pPr>
      <w:r w:rsidRPr="00C9724A">
        <w:t>Pracownicy Banku s</w:t>
      </w:r>
      <w:r w:rsidR="00B27052" w:rsidRPr="00C9724A">
        <w:t>kłada</w:t>
      </w:r>
      <w:r w:rsidRPr="00C9724A">
        <w:t>ją</w:t>
      </w:r>
      <w:r w:rsidR="00B27052" w:rsidRPr="00C9724A">
        <w:t xml:space="preserve"> oświadczenie dotyczące powiązań personalnych z pracownikami i członkami organów banku, które stanowi </w:t>
      </w:r>
      <w:r w:rsidR="0095679F" w:rsidRPr="00C9724A">
        <w:rPr>
          <w:color w:val="auto"/>
          <w:u w:val="single"/>
        </w:rPr>
        <w:t>Z</w:t>
      </w:r>
      <w:r w:rsidR="00B27052" w:rsidRPr="00C9724A">
        <w:rPr>
          <w:color w:val="auto"/>
          <w:u w:val="single"/>
        </w:rPr>
        <w:t xml:space="preserve">ałącznik nr </w:t>
      </w:r>
      <w:r w:rsidR="0095679F" w:rsidRPr="00C9724A">
        <w:rPr>
          <w:color w:val="auto"/>
          <w:u w:val="single"/>
        </w:rPr>
        <w:t>1</w:t>
      </w:r>
      <w:r w:rsidR="00B27052" w:rsidRPr="00C9724A">
        <w:t xml:space="preserve"> do</w:t>
      </w:r>
      <w:r w:rsidR="0095679F" w:rsidRPr="00C9724A">
        <w:t xml:space="preserve"> niniejszej Polityki.</w:t>
      </w:r>
    </w:p>
    <w:p w:rsidR="00D024FF" w:rsidRPr="00C9724A" w:rsidRDefault="00D024FF" w:rsidP="002F6062">
      <w:pPr>
        <w:pStyle w:val="Default"/>
        <w:numPr>
          <w:ilvl w:val="0"/>
          <w:numId w:val="6"/>
        </w:numPr>
        <w:spacing w:after="100" w:afterAutospacing="1"/>
        <w:jc w:val="both"/>
      </w:pPr>
      <w:r w:rsidRPr="00C9724A">
        <w:t>Pracownik zobowiązany jest powiadomić Bank (pracodawcę) o zaistnieniu powiązań personalnych w trakcie trwania stosunku pracy.</w:t>
      </w:r>
    </w:p>
    <w:p w:rsidR="00D024FF" w:rsidRPr="00C9724A" w:rsidRDefault="000B6479" w:rsidP="002F6062">
      <w:pPr>
        <w:pStyle w:val="Default"/>
        <w:numPr>
          <w:ilvl w:val="0"/>
          <w:numId w:val="6"/>
        </w:numPr>
        <w:spacing w:after="100" w:afterAutospacing="1"/>
        <w:jc w:val="both"/>
      </w:pPr>
      <w:r w:rsidRPr="00C9724A">
        <w:t>Stanowisko</w:t>
      </w:r>
      <w:r w:rsidR="00D024FF" w:rsidRPr="00C9724A">
        <w:t xml:space="preserve"> ds. Organizacyjno-Administracyjnych na bieżąco dokonuje analizy powiązań personalnych na podstawie złożonych oświadczeń.</w:t>
      </w:r>
    </w:p>
    <w:p w:rsidR="00D024FF" w:rsidRPr="00C9724A" w:rsidRDefault="00D024FF" w:rsidP="002F6062">
      <w:pPr>
        <w:pStyle w:val="Default"/>
        <w:numPr>
          <w:ilvl w:val="0"/>
          <w:numId w:val="6"/>
        </w:numPr>
        <w:spacing w:after="100" w:afterAutospacing="1"/>
        <w:jc w:val="both"/>
      </w:pPr>
      <w:r w:rsidRPr="00C9724A">
        <w:t>W przypadku wystąpienia</w:t>
      </w:r>
      <w:r w:rsidR="000B6479" w:rsidRPr="00C9724A">
        <w:t xml:space="preserve"> powiązań personalnych Stanowisko</w:t>
      </w:r>
      <w:r w:rsidRPr="00C9724A">
        <w:t xml:space="preserve"> ds. Organizacyjno-Administracyjnych  informuje Zarząd o zaistniałej sytuacji.</w:t>
      </w:r>
    </w:p>
    <w:p w:rsidR="00B27052" w:rsidRPr="00C9724A" w:rsidRDefault="0095679F" w:rsidP="0095679F">
      <w:pPr>
        <w:pStyle w:val="Nagwek1"/>
        <w:jc w:val="center"/>
        <w:rPr>
          <w:sz w:val="28"/>
          <w:szCs w:val="28"/>
        </w:rPr>
      </w:pPr>
      <w:bookmarkStart w:id="6" w:name="_Toc12183020"/>
      <w:r w:rsidRPr="00C9724A">
        <w:rPr>
          <w:sz w:val="28"/>
          <w:szCs w:val="28"/>
        </w:rPr>
        <w:t xml:space="preserve">VII. </w:t>
      </w:r>
      <w:r w:rsidR="00B27052" w:rsidRPr="00C9724A">
        <w:rPr>
          <w:sz w:val="28"/>
          <w:szCs w:val="28"/>
        </w:rPr>
        <w:t xml:space="preserve">Zawieranie transakcji istotnych dla Banku </w:t>
      </w:r>
      <w:r w:rsidRPr="00C9724A">
        <w:rPr>
          <w:sz w:val="28"/>
          <w:szCs w:val="28"/>
        </w:rPr>
        <w:br/>
      </w:r>
      <w:r w:rsidR="006A628E" w:rsidRPr="00C9724A">
        <w:rPr>
          <w:sz w:val="28"/>
          <w:szCs w:val="28"/>
        </w:rPr>
        <w:t>lub dotyczących c</w:t>
      </w:r>
      <w:r w:rsidR="00B27052" w:rsidRPr="00C9724A">
        <w:rPr>
          <w:sz w:val="28"/>
          <w:szCs w:val="28"/>
        </w:rPr>
        <w:t>złonka organu</w:t>
      </w:r>
      <w:bookmarkEnd w:id="6"/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EA19F9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9</w:t>
      </w:r>
      <w:r w:rsidR="00B27052" w:rsidRPr="00C9724A">
        <w:rPr>
          <w:b/>
          <w:sz w:val="24"/>
          <w:szCs w:val="24"/>
        </w:rPr>
        <w:t>.</w:t>
      </w:r>
    </w:p>
    <w:p w:rsidR="00B27052" w:rsidRPr="00C9724A" w:rsidRDefault="00B27052" w:rsidP="002F6062">
      <w:pPr>
        <w:numPr>
          <w:ilvl w:val="0"/>
          <w:numId w:val="18"/>
        </w:numPr>
        <w:jc w:val="both"/>
        <w:rPr>
          <w:sz w:val="24"/>
          <w:szCs w:val="24"/>
          <w:lang w:bidi="pl-PL"/>
        </w:rPr>
      </w:pPr>
      <w:r w:rsidRPr="00C9724A">
        <w:rPr>
          <w:sz w:val="24"/>
          <w:szCs w:val="24"/>
          <w:lang w:bidi="pl-PL"/>
        </w:rPr>
        <w:t xml:space="preserve">W przypadku transakcji z podmiotami powiązanymi z Bankiem, w tym z podmiotami zależnymi od  Banku, wpływającymi w istotny sposób na sytuację finansową lub prawną </w:t>
      </w:r>
      <w:r w:rsidRPr="00C9724A">
        <w:rPr>
          <w:sz w:val="24"/>
          <w:szCs w:val="24"/>
          <w:lang w:bidi="pl-PL"/>
        </w:rPr>
        <w:lastRenderedPageBreak/>
        <w:t xml:space="preserve">Banku lub prowadzącymi do nabycia lub zbycia albo innego rozporządzenia znacznym majątkiem Banku, wprowadza się zasadę </w:t>
      </w:r>
      <w:r w:rsidRPr="00C9724A">
        <w:rPr>
          <w:color w:val="000000"/>
          <w:sz w:val="24"/>
          <w:szCs w:val="24"/>
          <w:lang w:bidi="pl-PL"/>
        </w:rPr>
        <w:t>uzyskania zgody Rady Nadzorczej lub Zebrania Przedstawicieli  Banku dla takiej transakcji zgodnie ze Statutem Banku</w:t>
      </w:r>
      <w:r w:rsidRPr="00C9724A">
        <w:rPr>
          <w:color w:val="00B050"/>
          <w:sz w:val="24"/>
          <w:szCs w:val="24"/>
          <w:lang w:bidi="pl-PL"/>
        </w:rPr>
        <w:t>.</w:t>
      </w:r>
    </w:p>
    <w:p w:rsidR="00B27052" w:rsidRPr="00C9724A" w:rsidRDefault="00B27052" w:rsidP="00B27052">
      <w:pPr>
        <w:jc w:val="both"/>
        <w:rPr>
          <w:sz w:val="24"/>
          <w:szCs w:val="24"/>
          <w:lang w:bidi="pl-PL"/>
        </w:rPr>
      </w:pPr>
      <w:r w:rsidRPr="00C9724A">
        <w:rPr>
          <w:sz w:val="24"/>
          <w:szCs w:val="24"/>
          <w:lang w:bidi="pl-PL"/>
        </w:rPr>
        <w:t xml:space="preserve">2. Wprowadza się zasadę: </w:t>
      </w:r>
    </w:p>
    <w:p w:rsidR="00B27052" w:rsidRPr="00C9724A" w:rsidRDefault="00B27052" w:rsidP="002F6062">
      <w:pPr>
        <w:numPr>
          <w:ilvl w:val="0"/>
          <w:numId w:val="5"/>
        </w:numPr>
        <w:jc w:val="both"/>
        <w:rPr>
          <w:sz w:val="24"/>
          <w:szCs w:val="24"/>
          <w:lang w:bidi="pl-PL"/>
        </w:rPr>
      </w:pPr>
      <w:r w:rsidRPr="00C9724A">
        <w:rPr>
          <w:sz w:val="24"/>
          <w:szCs w:val="24"/>
          <w:lang w:bidi="pl-PL"/>
        </w:rPr>
        <w:t xml:space="preserve">uzyskania  zgody  Rady Nadzorczej oraz Zarządu na transakcję z podmiotami powiązanymi z Członkiem organu lub osobą zajmującą stanowisko kierownicze w Banku, zgodnie z art. 79a ust. 3 Prawa bankowego; </w:t>
      </w:r>
    </w:p>
    <w:p w:rsidR="00B27052" w:rsidRPr="00C9724A" w:rsidRDefault="00B27052" w:rsidP="002F6062">
      <w:pPr>
        <w:numPr>
          <w:ilvl w:val="0"/>
          <w:numId w:val="5"/>
        </w:numPr>
        <w:jc w:val="both"/>
        <w:rPr>
          <w:sz w:val="24"/>
          <w:szCs w:val="24"/>
          <w:lang w:bidi="pl-PL"/>
        </w:rPr>
      </w:pPr>
      <w:r w:rsidRPr="00C9724A">
        <w:rPr>
          <w:sz w:val="24"/>
          <w:szCs w:val="24"/>
          <w:lang w:bidi="pl-PL"/>
        </w:rPr>
        <w:t>stosowania odrębnych procedur zawierania transakcji (np. regulaminy wewnętrzne) z podmiotami powiązanymi z Członkiem organu;</w:t>
      </w:r>
    </w:p>
    <w:p w:rsidR="00B27052" w:rsidRPr="00C9724A" w:rsidRDefault="00B27052" w:rsidP="002F6062">
      <w:pPr>
        <w:pStyle w:val="Akapitzlist"/>
        <w:numPr>
          <w:ilvl w:val="0"/>
          <w:numId w:val="5"/>
        </w:numPr>
        <w:contextualSpacing/>
        <w:jc w:val="both"/>
        <w:rPr>
          <w:sz w:val="24"/>
          <w:szCs w:val="24"/>
          <w:lang w:bidi="pl-PL"/>
        </w:rPr>
      </w:pPr>
      <w:r w:rsidRPr="00C9724A">
        <w:rPr>
          <w:sz w:val="24"/>
          <w:szCs w:val="24"/>
          <w:lang w:bidi="pl-PL"/>
        </w:rPr>
        <w:t>decyzje dotyczące Członków organów Banku lub podmiotów powiązanych z Członkiem organu, zapadają w głosowaniu tajnym, bez obecności tej osoby.</w:t>
      </w: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95679F" w:rsidP="0095679F">
      <w:pPr>
        <w:pStyle w:val="Nagwek1"/>
        <w:jc w:val="center"/>
        <w:rPr>
          <w:sz w:val="28"/>
          <w:szCs w:val="28"/>
        </w:rPr>
      </w:pPr>
      <w:bookmarkStart w:id="7" w:name="_Toc12183021"/>
      <w:r w:rsidRPr="00C9724A">
        <w:rPr>
          <w:sz w:val="28"/>
          <w:szCs w:val="28"/>
        </w:rPr>
        <w:t>VIII.</w:t>
      </w:r>
      <w:r w:rsidR="00B27052" w:rsidRPr="00C9724A">
        <w:rPr>
          <w:sz w:val="28"/>
          <w:szCs w:val="28"/>
        </w:rPr>
        <w:t xml:space="preserve"> Rejestr</w:t>
      </w:r>
      <w:bookmarkEnd w:id="7"/>
    </w:p>
    <w:p w:rsidR="00B27052" w:rsidRPr="00C9724A" w:rsidRDefault="00B27052" w:rsidP="00B27052">
      <w:pPr>
        <w:jc w:val="center"/>
        <w:rPr>
          <w:sz w:val="24"/>
          <w:szCs w:val="24"/>
        </w:rPr>
      </w:pPr>
    </w:p>
    <w:p w:rsidR="00B27052" w:rsidRPr="00C9724A" w:rsidRDefault="00EA19F9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10</w:t>
      </w:r>
      <w:r w:rsidR="00B27052" w:rsidRPr="00C9724A">
        <w:rPr>
          <w:b/>
          <w:sz w:val="24"/>
          <w:szCs w:val="24"/>
        </w:rPr>
        <w:t>.</w:t>
      </w:r>
    </w:p>
    <w:p w:rsidR="00B27052" w:rsidRPr="00C9724A" w:rsidRDefault="00B27052" w:rsidP="002F6062">
      <w:pPr>
        <w:pStyle w:val="Akapitzlist"/>
        <w:numPr>
          <w:ilvl w:val="0"/>
          <w:numId w:val="21"/>
        </w:numPr>
        <w:ind w:left="357" w:hanging="357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 celu ewidencji zdarzeń wypełniających znamiona konfliktu interesów w Banku prowadzony jest Rejestr.</w:t>
      </w:r>
    </w:p>
    <w:p w:rsidR="00B27052" w:rsidRPr="00C9724A" w:rsidRDefault="00B27052" w:rsidP="002F6062">
      <w:pPr>
        <w:pStyle w:val="Akapitzlist"/>
        <w:numPr>
          <w:ilvl w:val="0"/>
          <w:numId w:val="21"/>
        </w:numPr>
        <w:ind w:left="357" w:hanging="357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Wpisowi do Rejestru podlegają:</w:t>
      </w:r>
    </w:p>
    <w:p w:rsidR="00B27052" w:rsidRPr="00C9724A" w:rsidRDefault="00B27052" w:rsidP="002F606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oświadczenia </w:t>
      </w:r>
      <w:r w:rsidR="00D6056E" w:rsidRPr="00C9724A">
        <w:rPr>
          <w:sz w:val="24"/>
          <w:szCs w:val="24"/>
        </w:rPr>
        <w:t xml:space="preserve">pracowników lub </w:t>
      </w:r>
      <w:r w:rsidR="006A628E" w:rsidRPr="00C9724A">
        <w:rPr>
          <w:sz w:val="24"/>
          <w:szCs w:val="24"/>
          <w:lang w:bidi="pl-PL"/>
        </w:rPr>
        <w:t>c</w:t>
      </w:r>
      <w:r w:rsidRPr="00C9724A">
        <w:rPr>
          <w:sz w:val="24"/>
          <w:szCs w:val="24"/>
          <w:lang w:bidi="pl-PL"/>
        </w:rPr>
        <w:t xml:space="preserve">złonków organów Banku </w:t>
      </w:r>
      <w:r w:rsidRPr="00C9724A">
        <w:rPr>
          <w:sz w:val="24"/>
          <w:szCs w:val="24"/>
        </w:rPr>
        <w:t>co do możliwości wystąpienia konfliktu interesów;</w:t>
      </w:r>
    </w:p>
    <w:p w:rsidR="00B27052" w:rsidRPr="00C9724A" w:rsidRDefault="00B27052" w:rsidP="002F606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informacje o zdarzeniach lub okolicznościach wskazujących występowanie konfliktu interesów lub ryzyko jego wystąpienia,</w:t>
      </w:r>
    </w:p>
    <w:p w:rsidR="00B27052" w:rsidRPr="00C9724A" w:rsidRDefault="00B27052" w:rsidP="002F606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zgody Rady Nadzorczej na podejmowanie</w:t>
      </w:r>
      <w:r w:rsidR="006A628E" w:rsidRPr="00C9724A">
        <w:rPr>
          <w:sz w:val="24"/>
          <w:szCs w:val="24"/>
        </w:rPr>
        <w:t xml:space="preserve"> dodatkowej działalności przez c</w:t>
      </w:r>
      <w:r w:rsidRPr="00C9724A">
        <w:rPr>
          <w:sz w:val="24"/>
          <w:szCs w:val="24"/>
        </w:rPr>
        <w:t>złonków Zarządu,</w:t>
      </w:r>
    </w:p>
    <w:p w:rsidR="00456188" w:rsidRPr="00C9724A" w:rsidRDefault="00B27052" w:rsidP="002F606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oświadczenia, informacje i zgody, o których mowa w pkt 1 i 3, prowadzone są w Rejestrze w odrębnej ewidencji.</w:t>
      </w:r>
    </w:p>
    <w:p w:rsidR="00D6056E" w:rsidRPr="00C9724A" w:rsidRDefault="00456188" w:rsidP="00456188">
      <w:p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3.    U</w:t>
      </w:r>
      <w:r w:rsidR="00B27052" w:rsidRPr="00C9724A">
        <w:rPr>
          <w:sz w:val="24"/>
          <w:szCs w:val="24"/>
        </w:rPr>
        <w:t xml:space="preserve">jawnieniu w oświadczeniach wymienionych w ust. 2 pkt. 1 podlegają:  </w:t>
      </w:r>
    </w:p>
    <w:p w:rsidR="00D6056E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interesy gospodarcze mogące stanowić źródło konfliktu interesów w tym: posiadane akcje lub udziały w spółkach prawa handlowego, inne prawa własności i udziały oraz inne interesy gospodarcze związane z klientami, prawa własności intelektualnej, kredyty udzielone przez bank spółce należącej do pracowników;</w:t>
      </w:r>
    </w:p>
    <w:p w:rsidR="00D6056E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członkostwo w organie, bądź prawo własności organu lub podmiotu mającego sprzeczne interesy, w tym fakt zatrudnienia w takim podmiocie w okresie ostatnich 5 lat;</w:t>
      </w:r>
    </w:p>
    <w:p w:rsidR="00D6056E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prowadzenie działalności gospodarczej w imieniu własnym;</w:t>
      </w:r>
    </w:p>
    <w:p w:rsidR="00D6056E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inne zatrudnienie oraz poprzednie zatrudnienie w niedawnej przeszłości (np. w ostatnich pięciu latach), mogące rodzić konflikt interesów, np. zatrudnienie w podmiocie klienta, który podlega decyzyjności danej osoby;</w:t>
      </w:r>
    </w:p>
    <w:p w:rsidR="00D6056E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relacje osobiste lub zawodowe z odpowiednimi zewnętrznymi zainteresowanymi stronami (np. związki z istotnymi dostawcami, firmami doradczymi lub innymi dostawcami usług) skutkujące wyłączeniem obiektywizmu lub swobody w procesie podejmowania decyzji w związku z pełnieniem obowiązków służbowych w Banku;</w:t>
      </w:r>
    </w:p>
    <w:p w:rsidR="00D6056E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wpływy lub relacje polityczne;</w:t>
      </w:r>
    </w:p>
    <w:p w:rsidR="00B27052" w:rsidRPr="00C9724A" w:rsidRDefault="00D6056E" w:rsidP="002F6062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inne okoliczności, które mają lub mogą mieć w przyszłości wpływ na powstanie konfliktu interesów.</w:t>
      </w: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C6715F" w:rsidRPr="00C9724A" w:rsidRDefault="00C6715F" w:rsidP="00B27052">
      <w:pPr>
        <w:jc w:val="center"/>
        <w:rPr>
          <w:b/>
          <w:sz w:val="24"/>
          <w:szCs w:val="24"/>
        </w:rPr>
      </w:pPr>
    </w:p>
    <w:p w:rsidR="00C6715F" w:rsidRPr="00C9724A" w:rsidRDefault="00C6715F" w:rsidP="00B27052">
      <w:pPr>
        <w:jc w:val="center"/>
        <w:rPr>
          <w:b/>
          <w:sz w:val="24"/>
          <w:szCs w:val="24"/>
        </w:rPr>
      </w:pPr>
    </w:p>
    <w:p w:rsidR="00B27052" w:rsidRPr="00C9724A" w:rsidRDefault="00EA19F9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lastRenderedPageBreak/>
        <w:t>§ 11</w:t>
      </w:r>
      <w:r w:rsidR="00B27052" w:rsidRPr="00C9724A">
        <w:rPr>
          <w:b/>
          <w:sz w:val="24"/>
          <w:szCs w:val="24"/>
        </w:rPr>
        <w:t>.</w:t>
      </w:r>
    </w:p>
    <w:p w:rsidR="00B27052" w:rsidRPr="00C9724A" w:rsidRDefault="00B27052" w:rsidP="002F6062">
      <w:pPr>
        <w:pStyle w:val="Akapitzlist"/>
        <w:numPr>
          <w:ilvl w:val="0"/>
          <w:numId w:val="17"/>
        </w:numPr>
        <w:ind w:left="357" w:hanging="357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 Stanowisko ds. zgodności prowadzi rejestr konfliktu interesów w zakresie </w:t>
      </w:r>
      <w:r w:rsidRPr="00C9724A">
        <w:rPr>
          <w:sz w:val="24"/>
          <w:szCs w:val="24"/>
        </w:rPr>
        <w:br/>
        <w:t xml:space="preserve"> opisanym w § 11.</w:t>
      </w:r>
    </w:p>
    <w:p w:rsidR="00B27052" w:rsidRPr="00C9724A" w:rsidRDefault="00B27052" w:rsidP="002F6062">
      <w:pPr>
        <w:pStyle w:val="Akapitzlist"/>
        <w:numPr>
          <w:ilvl w:val="0"/>
          <w:numId w:val="17"/>
        </w:numPr>
        <w:ind w:left="426" w:hanging="426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Rejestr prowadzony jest w Banku w formie elektronicznej.</w:t>
      </w:r>
    </w:p>
    <w:p w:rsidR="00B27052" w:rsidRPr="00C9724A" w:rsidRDefault="00B27052" w:rsidP="002F6062">
      <w:pPr>
        <w:pStyle w:val="Akapitzlist"/>
        <w:numPr>
          <w:ilvl w:val="0"/>
          <w:numId w:val="17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Stanowisko ds. zgodności w okresach kwartalnych w ramach identyfikacji ryzyka braku zgodności przedstawia organom Banku informację na temat zidentyfikowanych konfliktów interesów.</w:t>
      </w:r>
    </w:p>
    <w:p w:rsidR="00B27052" w:rsidRPr="00C9724A" w:rsidRDefault="00B27052" w:rsidP="002F6062">
      <w:pPr>
        <w:pStyle w:val="Akapitzlist"/>
        <w:numPr>
          <w:ilvl w:val="0"/>
          <w:numId w:val="17"/>
        </w:numPr>
        <w:ind w:left="426" w:hanging="426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Wpisy w Rejestrze nie podlegają usuwaniu / modyfikacji.</w:t>
      </w:r>
    </w:p>
    <w:p w:rsidR="00B27052" w:rsidRPr="00C9724A" w:rsidRDefault="00B27052" w:rsidP="002F6062">
      <w:pPr>
        <w:pStyle w:val="Akapitzlist"/>
        <w:numPr>
          <w:ilvl w:val="0"/>
          <w:numId w:val="17"/>
        </w:numPr>
        <w:ind w:left="426" w:hanging="426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Wzór Oświadczenia Członków Zarządu/ Rady stanowi </w:t>
      </w:r>
      <w:r w:rsidRPr="00C9724A">
        <w:rPr>
          <w:sz w:val="24"/>
          <w:szCs w:val="24"/>
          <w:u w:val="single"/>
        </w:rPr>
        <w:t>Załącznik nr</w:t>
      </w:r>
      <w:r w:rsidR="0095679F" w:rsidRPr="00C9724A">
        <w:rPr>
          <w:sz w:val="24"/>
          <w:szCs w:val="24"/>
          <w:u w:val="single"/>
        </w:rPr>
        <w:t xml:space="preserve"> 2</w:t>
      </w:r>
      <w:r w:rsidRPr="00C9724A">
        <w:rPr>
          <w:sz w:val="24"/>
          <w:szCs w:val="24"/>
        </w:rPr>
        <w:t xml:space="preserve"> do niniejszej  Polityki.</w:t>
      </w:r>
    </w:p>
    <w:p w:rsidR="00B27052" w:rsidRPr="00C9724A" w:rsidRDefault="00B27052" w:rsidP="00B27052">
      <w:pPr>
        <w:jc w:val="center"/>
        <w:rPr>
          <w:sz w:val="24"/>
          <w:szCs w:val="24"/>
        </w:rPr>
      </w:pPr>
    </w:p>
    <w:p w:rsidR="00B27052" w:rsidRPr="00C9724A" w:rsidRDefault="00EA19F9" w:rsidP="00B27052">
      <w:pPr>
        <w:jc w:val="center"/>
        <w:rPr>
          <w:sz w:val="24"/>
          <w:szCs w:val="24"/>
        </w:rPr>
      </w:pPr>
      <w:r w:rsidRPr="00C9724A">
        <w:rPr>
          <w:b/>
          <w:sz w:val="24"/>
          <w:szCs w:val="24"/>
        </w:rPr>
        <w:t>§ 12</w:t>
      </w:r>
      <w:r w:rsidR="00B27052" w:rsidRPr="00C9724A">
        <w:rPr>
          <w:b/>
          <w:sz w:val="24"/>
          <w:szCs w:val="24"/>
        </w:rPr>
        <w:t>.</w:t>
      </w:r>
    </w:p>
    <w:p w:rsidR="00D6056E" w:rsidRPr="00C9724A" w:rsidRDefault="00D6056E" w:rsidP="002F6062">
      <w:pPr>
        <w:pStyle w:val="Akapitzlist"/>
        <w:numPr>
          <w:ilvl w:val="0"/>
          <w:numId w:val="28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Pracownicy lub Członkowie organów Banku zobowiązani są do bezzwłocznego informowania Banku, o występowaniu zdarzeń lub okoliczności ich dotyczących, powodujących występowanie konfliktu interesów. Oryginały złożonych oświadczeń gromadzone są przez</w:t>
      </w:r>
      <w:r w:rsidR="00C6715F" w:rsidRPr="00C9724A">
        <w:rPr>
          <w:sz w:val="24"/>
          <w:szCs w:val="24"/>
        </w:rPr>
        <w:t xml:space="preserve"> Stanowisko ds. Organizacyjno-Administracyjnych</w:t>
      </w:r>
      <w:r w:rsidRPr="00C9724A">
        <w:rPr>
          <w:sz w:val="24"/>
          <w:szCs w:val="24"/>
        </w:rPr>
        <w:t xml:space="preserve"> </w:t>
      </w:r>
      <w:r w:rsidRPr="00C9724A">
        <w:rPr>
          <w:color w:val="000000"/>
          <w:sz w:val="24"/>
          <w:szCs w:val="24"/>
        </w:rPr>
        <w:t>,</w:t>
      </w:r>
      <w:r w:rsidRPr="00C9724A">
        <w:rPr>
          <w:sz w:val="24"/>
          <w:szCs w:val="24"/>
        </w:rPr>
        <w:t xml:space="preserve"> niezależnie od dokonanego wpisu w Rejestrze, na podstawie przedstawionej informacji.</w:t>
      </w:r>
    </w:p>
    <w:p w:rsidR="00D6056E" w:rsidRPr="00C9724A" w:rsidRDefault="00D6056E" w:rsidP="002F6062">
      <w:pPr>
        <w:pStyle w:val="Akapitzlist"/>
        <w:numPr>
          <w:ilvl w:val="0"/>
          <w:numId w:val="28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Zgłoszenia wystąpienia lub możliwości wystąpienia zdarzenia lub okoliczności, niosącego znamiona konfliktu interesów, może dokonać  każdy pracownik Banku, który posiada w tym zakresie wiedzę.</w:t>
      </w:r>
    </w:p>
    <w:p w:rsidR="00D6056E" w:rsidRPr="00C9724A" w:rsidRDefault="00B27052" w:rsidP="002F6062">
      <w:pPr>
        <w:pStyle w:val="Akapitzlist"/>
        <w:numPr>
          <w:ilvl w:val="0"/>
          <w:numId w:val="28"/>
        </w:numPr>
        <w:ind w:left="426" w:hanging="426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O zdarzeniach wypełniających znamiona konfliktu interesów, dotyczących </w:t>
      </w:r>
      <w:r w:rsidR="00EA6B9F" w:rsidRPr="00C9724A">
        <w:rPr>
          <w:sz w:val="24"/>
          <w:szCs w:val="24"/>
        </w:rPr>
        <w:t>pracownika,</w:t>
      </w:r>
      <w:r w:rsidR="00D6056E" w:rsidRPr="00C9724A">
        <w:rPr>
          <w:sz w:val="24"/>
          <w:szCs w:val="24"/>
        </w:rPr>
        <w:t xml:space="preserve"> </w:t>
      </w:r>
      <w:r w:rsidRPr="00C9724A">
        <w:rPr>
          <w:sz w:val="24"/>
          <w:szCs w:val="24"/>
        </w:rPr>
        <w:t xml:space="preserve">Członka Zarządu </w:t>
      </w:r>
      <w:r w:rsidR="00EA6B9F" w:rsidRPr="00C9724A">
        <w:rPr>
          <w:sz w:val="24"/>
          <w:szCs w:val="24"/>
        </w:rPr>
        <w:t>Banku lub Członka Rady Nadzorczej,</w:t>
      </w:r>
      <w:r w:rsidRPr="00C9724A">
        <w:rPr>
          <w:sz w:val="24"/>
          <w:szCs w:val="24"/>
        </w:rPr>
        <w:t xml:space="preserve"> które mogą dodatkowo uprawdopodabniać ryzyko zaistnienia przestępstwa albo działań, które wywołały lub mogą wywołać w przyszłości szkodę majątkową w Banku lub wpłynęły / mogą wpłynąć negatywnie na wizerunek Banku, </w:t>
      </w:r>
      <w:r w:rsidR="00D6056E" w:rsidRPr="00C9724A">
        <w:rPr>
          <w:sz w:val="24"/>
          <w:szCs w:val="24"/>
        </w:rPr>
        <w:t>odpowiednio:</w:t>
      </w:r>
    </w:p>
    <w:p w:rsidR="00B27052" w:rsidRPr="00C9724A" w:rsidRDefault="00D6056E" w:rsidP="002F6062">
      <w:pPr>
        <w:pStyle w:val="Akapitzlist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w przypadku Członka Zarządu - </w:t>
      </w:r>
      <w:r w:rsidR="00B27052" w:rsidRPr="00C9724A">
        <w:rPr>
          <w:sz w:val="24"/>
          <w:szCs w:val="24"/>
        </w:rPr>
        <w:t>Prezes Zarządu Banku powiadamia Radę Nadzorczą niezwłocznie, najpóźniej na najbliżs</w:t>
      </w:r>
      <w:r w:rsidRPr="00C9724A">
        <w:rPr>
          <w:sz w:val="24"/>
          <w:szCs w:val="24"/>
        </w:rPr>
        <w:t>zym posiedzeniu Rady Nadzorczej;</w:t>
      </w:r>
    </w:p>
    <w:p w:rsidR="00D6056E" w:rsidRPr="00C9724A" w:rsidRDefault="00D6056E" w:rsidP="002F6062">
      <w:pPr>
        <w:pStyle w:val="Akapitzlist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 przypadku pracownika - Prezes Zarządu powiadamia Zarząd;</w:t>
      </w:r>
    </w:p>
    <w:p w:rsidR="00EA6B9F" w:rsidRPr="00C9724A" w:rsidRDefault="00EA6B9F" w:rsidP="002F6062">
      <w:pPr>
        <w:pStyle w:val="Akapitzlist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w przypadku Członka Rady Nadzorczej </w:t>
      </w:r>
      <w:r w:rsidR="007F5DA1" w:rsidRPr="00C9724A">
        <w:rPr>
          <w:sz w:val="24"/>
          <w:szCs w:val="24"/>
        </w:rPr>
        <w:t>–</w:t>
      </w:r>
      <w:r w:rsidRPr="00C9724A">
        <w:rPr>
          <w:sz w:val="24"/>
          <w:szCs w:val="24"/>
        </w:rPr>
        <w:t xml:space="preserve"> </w:t>
      </w:r>
      <w:r w:rsidR="007F5DA1" w:rsidRPr="00C9724A">
        <w:rPr>
          <w:sz w:val="24"/>
          <w:szCs w:val="24"/>
        </w:rPr>
        <w:t>Przewodniczący Rady Nadzorczej powiadamia Radę Nadzorczą;</w:t>
      </w:r>
    </w:p>
    <w:p w:rsidR="00C6715F" w:rsidRPr="00C9724A" w:rsidRDefault="00C6715F" w:rsidP="002F6062">
      <w:pPr>
        <w:pStyle w:val="Akapitzlist"/>
        <w:numPr>
          <w:ilvl w:val="0"/>
          <w:numId w:val="28"/>
        </w:numPr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Każdy zgłoszony konflikt interesów jest odpowiednio analizowany i podejmowane są w razie konieczności odpowiednie środki zaradcze, np. odpowiednio do zaistniałej sytuacji, w razie potrzeby Stanowisko ds. zgodności dokonuje odpowiedniej analizy i jej wyniki </w:t>
      </w:r>
      <w:r w:rsidR="00994C06" w:rsidRPr="00C9724A">
        <w:rPr>
          <w:sz w:val="24"/>
          <w:szCs w:val="24"/>
        </w:rPr>
        <w:t>przeka</w:t>
      </w:r>
      <w:r w:rsidR="00385CDF" w:rsidRPr="00C9724A">
        <w:rPr>
          <w:sz w:val="24"/>
          <w:szCs w:val="24"/>
        </w:rPr>
        <w:t>zuje w formie notatki służbowej odpowiednio do osób wskazanych w pkt. 3,</w:t>
      </w:r>
      <w:r w:rsidR="00994C06" w:rsidRPr="00C9724A">
        <w:rPr>
          <w:sz w:val="24"/>
          <w:szCs w:val="24"/>
        </w:rPr>
        <w:t xml:space="preserve"> a działania odnotowuje w Rejestrze. </w:t>
      </w:r>
      <w:r w:rsidRPr="00C9724A">
        <w:rPr>
          <w:sz w:val="24"/>
          <w:szCs w:val="24"/>
        </w:rPr>
        <w:t xml:space="preserve"> </w:t>
      </w:r>
    </w:p>
    <w:p w:rsidR="00B27052" w:rsidRPr="00C9724A" w:rsidRDefault="009F5D71" w:rsidP="009F5D71">
      <w:pPr>
        <w:pStyle w:val="Nagwek1"/>
        <w:jc w:val="center"/>
        <w:rPr>
          <w:sz w:val="28"/>
          <w:szCs w:val="28"/>
        </w:rPr>
      </w:pPr>
      <w:bookmarkStart w:id="8" w:name="_Toc12183022"/>
      <w:r w:rsidRPr="00C9724A">
        <w:rPr>
          <w:sz w:val="28"/>
          <w:szCs w:val="28"/>
        </w:rPr>
        <w:t>IX.</w:t>
      </w:r>
      <w:r w:rsidR="00B27052" w:rsidRPr="00C9724A">
        <w:rPr>
          <w:sz w:val="28"/>
          <w:szCs w:val="28"/>
        </w:rPr>
        <w:t xml:space="preserve"> Zarządzanie konfliktem interesów</w:t>
      </w:r>
      <w:bookmarkEnd w:id="8"/>
    </w:p>
    <w:p w:rsidR="00B27052" w:rsidRPr="00C9724A" w:rsidRDefault="00B27052" w:rsidP="00B27052">
      <w:pPr>
        <w:jc w:val="center"/>
        <w:rPr>
          <w:sz w:val="24"/>
          <w:szCs w:val="24"/>
        </w:rPr>
      </w:pP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  <w:r w:rsidRPr="00C9724A">
        <w:rPr>
          <w:b/>
          <w:sz w:val="24"/>
          <w:szCs w:val="24"/>
        </w:rPr>
        <w:t>§ 1</w:t>
      </w:r>
      <w:r w:rsidR="00EA19F9" w:rsidRPr="00C9724A">
        <w:rPr>
          <w:b/>
          <w:sz w:val="24"/>
          <w:szCs w:val="24"/>
        </w:rPr>
        <w:t>3</w:t>
      </w:r>
      <w:r w:rsidRPr="00C9724A">
        <w:rPr>
          <w:b/>
          <w:sz w:val="24"/>
          <w:szCs w:val="24"/>
        </w:rPr>
        <w:t>.</w:t>
      </w:r>
    </w:p>
    <w:p w:rsidR="00B27052" w:rsidRPr="00C9724A" w:rsidRDefault="00B27052" w:rsidP="00B27052">
      <w:pPr>
        <w:jc w:val="center"/>
        <w:rPr>
          <w:b/>
          <w:sz w:val="24"/>
          <w:szCs w:val="24"/>
        </w:rPr>
      </w:pPr>
    </w:p>
    <w:p w:rsidR="00B27052" w:rsidRPr="00C9724A" w:rsidRDefault="00B27052" w:rsidP="00B2705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724A">
        <w:rPr>
          <w:b/>
          <w:color w:val="000000"/>
          <w:sz w:val="24"/>
          <w:szCs w:val="24"/>
        </w:rPr>
        <w:t>Mechanizmy kontrolne w zakresie ryzyka konfliktu interesów</w:t>
      </w:r>
    </w:p>
    <w:p w:rsidR="00B27052" w:rsidRPr="00C9724A" w:rsidRDefault="00B27052" w:rsidP="00B2705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B27052" w:rsidRPr="00C9724A" w:rsidRDefault="00B27052" w:rsidP="002F606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Mechanizmy kontrolne w zakresie zarządzania ryzykiem konfliktu interesów obejmują</w:t>
      </w:r>
    </w:p>
    <w:p w:rsidR="00B27052" w:rsidRPr="00C9724A" w:rsidRDefault="00B27052" w:rsidP="002F606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rozwiązania organizacyjne zmniejszające prawdopodobieństwo wystąpienie sytuacji powodujących konflikt interesów oraz </w:t>
      </w:r>
    </w:p>
    <w:p w:rsidR="00B27052" w:rsidRPr="00C9724A" w:rsidRDefault="00B27052" w:rsidP="002F606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system zbierania, przekazywania i wykorzystania informacji w zakresie ryzyka wystąpienia konfliktu interesów zapewniający możliwość reakcji kierownictwa Banku na zaistniałe zagrożenia.</w:t>
      </w:r>
    </w:p>
    <w:p w:rsidR="00B27052" w:rsidRPr="00C9724A" w:rsidRDefault="00B27052" w:rsidP="002F606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 zakresie rozwiązań organizacyjnych w Banku stosuje się:</w:t>
      </w:r>
    </w:p>
    <w:p w:rsidR="00D25F38" w:rsidRPr="00C9724A" w:rsidRDefault="00F44CA4" w:rsidP="002F606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lastRenderedPageBreak/>
        <w:t>pracownik lub Członek Zarządu, którego konflikt dotyczy, wyłącza się od uczestnictwa w procesie decyzyjnym, w sprawie której konflikt interesów dotyczy lub na którą wywiera wpływ, do czasu zakończenia się procesu decyzyjnego. Pracownik lub Członek Zarządu nie może reprezentować Banku na etapie wykonywania podjętych decyzji, w sprawach w których uprzednio podlegał wyłączeniu;</w:t>
      </w:r>
    </w:p>
    <w:p w:rsidR="00385CDF" w:rsidRPr="00C9724A" w:rsidRDefault="00D25F38" w:rsidP="008B35D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jeśli zdarzenia lub okoliczności wskazujące na istnienie konfliktu interesów dotyczą członka Rady Nadzorczej Banku, to przewodniczący</w:t>
      </w:r>
      <w:r w:rsidR="008B35DB" w:rsidRPr="00C9724A">
        <w:rPr>
          <w:sz w:val="24"/>
          <w:szCs w:val="24"/>
        </w:rPr>
        <w:t xml:space="preserve"> Rady (w przypadku kiedy konflikt interesów dotyczy przewodniczącego Rady – zastępca przewodniczącego Rady) </w:t>
      </w:r>
      <w:r w:rsidRPr="00C9724A">
        <w:rPr>
          <w:sz w:val="24"/>
          <w:szCs w:val="24"/>
        </w:rPr>
        <w:t xml:space="preserve"> zobowiązany jest zastosować dostępne w Banku instrumenty prawne w celu wyłączenia od działania w pracach tego Członka Rady, którego okoliczności lub zdarzenia dotyczą; </w:t>
      </w:r>
      <w:r w:rsidR="00F44CA4" w:rsidRPr="00C9724A">
        <w:rPr>
          <w:sz w:val="24"/>
          <w:szCs w:val="24"/>
        </w:rPr>
        <w:t xml:space="preserve"> </w:t>
      </w:r>
    </w:p>
    <w:p w:rsidR="00B27052" w:rsidRPr="00C9724A" w:rsidRDefault="00B27052" w:rsidP="002F606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tworzenie i dokumentowanie zadań i schematów podległości służbowej zapewniające jednoznaczne określanie tych kompetencji oraz podległości w obszarze zarządzania operacjami i decyzyjności na różnych szczeblach organizacyjnych, zapobiegające przyporządkowaniu zakresu odpowiedzialności mogącemu prowadzić do konfliktu interesów, w tym ukrywania szkód, błędów lub niewłaściwych działań, </w:t>
      </w:r>
    </w:p>
    <w:p w:rsidR="00B27052" w:rsidRPr="00C9724A" w:rsidRDefault="00B27052" w:rsidP="002F606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aktualizacja i dokonywanie przeglądów zarządczych regulacji wewnętrznych w zakresie struktury organizacyjnej, podziału zadań, systemu decyzyjnego, zapewniające identyfikację i wyeliminowanie potencjalnych konflikty interesów, </w:t>
      </w:r>
    </w:p>
    <w:p w:rsidR="00B27052" w:rsidRPr="00C9724A" w:rsidRDefault="00B27052" w:rsidP="002F6062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przyjęcie odpowiednich regulacji wewnętrznych dotyczących zawierania transakcji zapewniające unikanie konfliktu interesów i nadzór nad ich stosowaniem.</w:t>
      </w:r>
    </w:p>
    <w:p w:rsidR="00B27052" w:rsidRPr="00C9724A" w:rsidRDefault="00B27052" w:rsidP="002F6062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 zakresie systemu zbierania, przekazywania i wykorzystania informacji Bank wdraża:</w:t>
      </w:r>
    </w:p>
    <w:p w:rsidR="00B27052" w:rsidRPr="00C9724A" w:rsidRDefault="00B27052" w:rsidP="002F606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obowiązek zgłaszania ryzyka konfliktu interesów przez członków organów Banku </w:t>
      </w:r>
      <w:r w:rsidRPr="00C9724A">
        <w:rPr>
          <w:sz w:val="24"/>
          <w:szCs w:val="24"/>
        </w:rPr>
        <w:br/>
        <w:t>i pracowników, a także odpowiednio obowiązek powstrzymania się od decydowania lub zabierania głosu w danej sprawie (dotyczy to również sytuacji konfliktu interesów między Bankiem i klientem lub członkiem organu/pracownikiem i klientem),</w:t>
      </w:r>
    </w:p>
    <w:p w:rsidR="00B27052" w:rsidRPr="00C9724A" w:rsidRDefault="00B27052" w:rsidP="002F606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C9724A">
        <w:rPr>
          <w:sz w:val="24"/>
          <w:szCs w:val="24"/>
        </w:rPr>
        <w:t>prowadzenie ewidencji dotyczącej przypadków zgłoszenia ryzyka konfliktu interesów, uzyskanych od członków organów lub pracowników lub też będące skutkiem przeglądu</w:t>
      </w:r>
      <w:r w:rsidR="00D25F38" w:rsidRPr="00C9724A">
        <w:rPr>
          <w:sz w:val="24"/>
          <w:szCs w:val="24"/>
        </w:rPr>
        <w:t xml:space="preserve"> zarządczego przekazywanych do S</w:t>
      </w:r>
      <w:r w:rsidRPr="00C9724A">
        <w:rPr>
          <w:sz w:val="24"/>
          <w:szCs w:val="24"/>
        </w:rPr>
        <w:t>tanowiska ds. zgodności</w:t>
      </w:r>
      <w:r w:rsidRPr="00C9724A">
        <w:rPr>
          <w:color w:val="FF0000"/>
          <w:sz w:val="24"/>
          <w:szCs w:val="24"/>
        </w:rPr>
        <w:t>.</w:t>
      </w:r>
    </w:p>
    <w:p w:rsidR="00B27052" w:rsidRPr="00C9724A" w:rsidRDefault="00B27052" w:rsidP="00B27052">
      <w:pPr>
        <w:autoSpaceDE w:val="0"/>
        <w:autoSpaceDN w:val="0"/>
        <w:adjustRightInd w:val="0"/>
        <w:ind w:left="360"/>
        <w:jc w:val="both"/>
        <w:rPr>
          <w:b/>
          <w:color w:val="000000"/>
          <w:sz w:val="24"/>
          <w:szCs w:val="24"/>
        </w:rPr>
      </w:pPr>
    </w:p>
    <w:p w:rsidR="00B27052" w:rsidRPr="00C9724A" w:rsidRDefault="00B27052" w:rsidP="00B27052">
      <w:pPr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4"/>
          <w:szCs w:val="24"/>
        </w:rPr>
      </w:pPr>
      <w:r w:rsidRPr="00C9724A">
        <w:rPr>
          <w:b/>
          <w:color w:val="000000"/>
          <w:sz w:val="24"/>
          <w:szCs w:val="24"/>
        </w:rPr>
        <w:t>§ 1</w:t>
      </w:r>
      <w:r w:rsidR="00EA19F9" w:rsidRPr="00C9724A">
        <w:rPr>
          <w:b/>
          <w:color w:val="000000"/>
          <w:sz w:val="24"/>
          <w:szCs w:val="24"/>
        </w:rPr>
        <w:t>4.</w:t>
      </w:r>
    </w:p>
    <w:p w:rsidR="00B27052" w:rsidRPr="00C9724A" w:rsidRDefault="00B27052" w:rsidP="00B27052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C9724A">
        <w:rPr>
          <w:b/>
          <w:color w:val="000000"/>
          <w:sz w:val="24"/>
          <w:szCs w:val="24"/>
        </w:rPr>
        <w:t>Monitorowanie i raportowanie w zakresie ryzyka konfliktu interesów</w:t>
      </w:r>
    </w:p>
    <w:p w:rsidR="00B27052" w:rsidRPr="00C9724A" w:rsidRDefault="00B27052" w:rsidP="00B2705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27052" w:rsidRPr="00C9724A" w:rsidRDefault="00B27052" w:rsidP="002F60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Zgłoszone przypadki ryzyka konfliktu interesów są monitorowane przez stanowisko ds. zgodności, obejmuje to testy zgodności (przeglądy, kontrolę wewnętrzną) w zakresie przestrzegania zasad związanego ze zgłoszonymi przypadkami ryzyka konfliktu interesów.</w:t>
      </w:r>
    </w:p>
    <w:p w:rsidR="00B27052" w:rsidRPr="00C9724A" w:rsidRDefault="00B27052" w:rsidP="002F60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 xml:space="preserve">Stanowisko ds. zgodności dokonuje również, poprzez odpowiednie testy zgodności (przeglądy, kontrolę wewnętrzną) monitorowania mechanizmów kontroli wewnętrznej (kontroli ryzyka). </w:t>
      </w:r>
    </w:p>
    <w:p w:rsidR="00B27052" w:rsidRPr="00C9724A" w:rsidRDefault="00B27052" w:rsidP="002F60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Stanowisko ds. zgodności  raportuje do Zarządu oraz Rady Nadzorczej wyniki testów zgodności w zakresie zgłoszonych przypadków ryzyka konfliktu interesów oraz testów dotyczących mechanizmów kontroli wewnętrznej.</w:t>
      </w:r>
    </w:p>
    <w:p w:rsidR="00D25F38" w:rsidRPr="00C9724A" w:rsidRDefault="00D25F38" w:rsidP="002F606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 xml:space="preserve">Rada Nadzorcza i Zarząd Banku zapewniają publiczne ujawnianie odpowiednich informacji dotyczących przyjętej w Banku polityki zarządzania konfliktami interesów oraz konfliktami, które mogłyby powstać z powodu przynależności Banku do grupy lub transakcji zawieranych przez Bank z innymi podmiotami w grupie. Publicznemu ujawnieniu nie mogą podlegać informacje objęte ochroną: stanowiące dane osobowe, tajemnicę bankową lub tajemnicę przedsiębiorstwa. Powyższe informacje, a także informacje o istnieniu w Banku takich potencjalnych konfliktów oraz ich zakresie, </w:t>
      </w:r>
      <w:r w:rsidR="008E02BE" w:rsidRPr="00C9724A">
        <w:rPr>
          <w:color w:val="000000"/>
          <w:sz w:val="24"/>
          <w:szCs w:val="24"/>
        </w:rPr>
        <w:lastRenderedPageBreak/>
        <w:t>powinny być także przekazywane do Komisji Nadzoru Finansowego – a także do jednostki zarządzającej systemem ochrony.</w:t>
      </w:r>
    </w:p>
    <w:p w:rsidR="00B27052" w:rsidRPr="00C9724A" w:rsidRDefault="00B27052" w:rsidP="00B27052">
      <w:pPr>
        <w:jc w:val="center"/>
        <w:rPr>
          <w:b/>
          <w:color w:val="000000"/>
          <w:sz w:val="24"/>
          <w:szCs w:val="24"/>
        </w:rPr>
      </w:pPr>
    </w:p>
    <w:p w:rsidR="00B27052" w:rsidRPr="00C9724A" w:rsidRDefault="009F5D71" w:rsidP="009F5D71">
      <w:pPr>
        <w:pStyle w:val="Nagwek1"/>
        <w:jc w:val="center"/>
        <w:rPr>
          <w:sz w:val="28"/>
          <w:szCs w:val="28"/>
        </w:rPr>
      </w:pPr>
      <w:bookmarkStart w:id="9" w:name="_Toc12183023"/>
      <w:r w:rsidRPr="00C9724A">
        <w:rPr>
          <w:sz w:val="28"/>
          <w:szCs w:val="28"/>
        </w:rPr>
        <w:t>X.</w:t>
      </w:r>
      <w:r w:rsidR="00B27052" w:rsidRPr="00C9724A">
        <w:rPr>
          <w:sz w:val="28"/>
          <w:szCs w:val="28"/>
        </w:rPr>
        <w:t xml:space="preserve"> Postanowienia końcowe</w:t>
      </w:r>
      <w:bookmarkEnd w:id="9"/>
    </w:p>
    <w:p w:rsidR="00B27052" w:rsidRPr="00C9724A" w:rsidRDefault="00B27052" w:rsidP="00B27052">
      <w:pPr>
        <w:ind w:left="66"/>
        <w:jc w:val="center"/>
        <w:rPr>
          <w:b/>
          <w:sz w:val="24"/>
          <w:szCs w:val="24"/>
        </w:rPr>
      </w:pPr>
    </w:p>
    <w:p w:rsidR="00B27052" w:rsidRPr="00C9724A" w:rsidRDefault="00B27052" w:rsidP="00B27052">
      <w:pPr>
        <w:ind w:left="66"/>
        <w:jc w:val="center"/>
        <w:rPr>
          <w:sz w:val="24"/>
          <w:szCs w:val="24"/>
        </w:rPr>
      </w:pPr>
      <w:r w:rsidRPr="00C9724A">
        <w:rPr>
          <w:b/>
          <w:sz w:val="24"/>
          <w:szCs w:val="24"/>
        </w:rPr>
        <w:t xml:space="preserve">§ </w:t>
      </w:r>
      <w:r w:rsidR="00EA19F9" w:rsidRPr="00C9724A">
        <w:rPr>
          <w:b/>
          <w:sz w:val="24"/>
          <w:szCs w:val="24"/>
        </w:rPr>
        <w:t>15</w:t>
      </w:r>
      <w:r w:rsidRPr="00C9724A">
        <w:rPr>
          <w:b/>
          <w:sz w:val="24"/>
          <w:szCs w:val="24"/>
        </w:rPr>
        <w:t>.</w:t>
      </w:r>
    </w:p>
    <w:p w:rsidR="00B27052" w:rsidRPr="00C9724A" w:rsidRDefault="00B27052" w:rsidP="0077262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9724A">
        <w:rPr>
          <w:sz w:val="24"/>
          <w:szCs w:val="24"/>
        </w:rPr>
        <w:t>Przestrzeganie zasad Polityki jest realizowane poprzez:</w:t>
      </w:r>
    </w:p>
    <w:p w:rsidR="00B27052" w:rsidRPr="00C9724A" w:rsidRDefault="00B27052" w:rsidP="002F60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właściwą organizację i prawidłowe funkcjonowanie organów Banku;</w:t>
      </w:r>
    </w:p>
    <w:p w:rsidR="00B27052" w:rsidRPr="00C9724A" w:rsidRDefault="00B27052" w:rsidP="002F60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 xml:space="preserve">odpowiednie działania organizacyjne, zmierzające do wprowadzenia podziału zadań </w:t>
      </w:r>
      <w:r w:rsidRPr="00C9724A">
        <w:rPr>
          <w:sz w:val="24"/>
          <w:szCs w:val="24"/>
        </w:rPr>
        <w:br/>
        <w:t>i odpowiedzialności, zapobiegające konfliktowi interesów;</w:t>
      </w:r>
    </w:p>
    <w:p w:rsidR="00B27052" w:rsidRPr="00C9724A" w:rsidRDefault="00B27052" w:rsidP="002F60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wprowadzenie zasad zawierania transakcji z podmiotami zależnymi, a także podmiotami powiązanymi z Członkami organów Banku oraz osobami zajmującymi inne stanowiska kierownicze w Banku;</w:t>
      </w:r>
    </w:p>
    <w:p w:rsidR="00B27052" w:rsidRPr="00C9724A" w:rsidRDefault="00B27052" w:rsidP="002F60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dbałość o zapisy w regulacjach wewnętrznych, zapewniające zgodność z zasadami Polityki;</w:t>
      </w:r>
    </w:p>
    <w:p w:rsidR="00B27052" w:rsidRPr="00C9724A" w:rsidRDefault="00B27052" w:rsidP="002F606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C9724A">
        <w:rPr>
          <w:sz w:val="24"/>
          <w:szCs w:val="24"/>
        </w:rPr>
        <w:t>nadzór organów Banku nad ich przestrzeganiem.</w:t>
      </w:r>
    </w:p>
    <w:p w:rsidR="00D80936" w:rsidRPr="00C9724A" w:rsidRDefault="00D80936" w:rsidP="00772624">
      <w:pPr>
        <w:pStyle w:val="Akapitzlist"/>
        <w:autoSpaceDE w:val="0"/>
        <w:autoSpaceDN w:val="0"/>
        <w:adjustRightInd w:val="0"/>
        <w:ind w:left="426"/>
        <w:contextualSpacing/>
        <w:jc w:val="both"/>
        <w:rPr>
          <w:color w:val="000000"/>
          <w:sz w:val="24"/>
          <w:szCs w:val="24"/>
        </w:rPr>
      </w:pPr>
    </w:p>
    <w:p w:rsidR="00B27052" w:rsidRPr="00C9724A" w:rsidRDefault="00EA19F9" w:rsidP="00B27052">
      <w:pPr>
        <w:ind w:left="66"/>
        <w:jc w:val="center"/>
        <w:rPr>
          <w:b/>
          <w:color w:val="000000"/>
          <w:sz w:val="24"/>
          <w:szCs w:val="24"/>
        </w:rPr>
      </w:pPr>
      <w:r w:rsidRPr="00C9724A">
        <w:rPr>
          <w:b/>
          <w:color w:val="000000"/>
          <w:sz w:val="24"/>
          <w:szCs w:val="24"/>
        </w:rPr>
        <w:t>§ 16</w:t>
      </w:r>
      <w:r w:rsidR="00B27052" w:rsidRPr="00C9724A">
        <w:rPr>
          <w:b/>
          <w:color w:val="000000"/>
          <w:sz w:val="24"/>
          <w:szCs w:val="24"/>
        </w:rPr>
        <w:t>.</w:t>
      </w:r>
    </w:p>
    <w:p w:rsidR="00B27052" w:rsidRPr="00C9724A" w:rsidRDefault="00B27052" w:rsidP="002F6062">
      <w:pPr>
        <w:pStyle w:val="Akapitzlist"/>
        <w:numPr>
          <w:ilvl w:val="0"/>
          <w:numId w:val="27"/>
        </w:numPr>
        <w:ind w:left="284" w:hanging="284"/>
        <w:contextualSpacing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 xml:space="preserve">Polityka </w:t>
      </w:r>
      <w:r w:rsidR="008E02BE" w:rsidRPr="00C9724A">
        <w:rPr>
          <w:color w:val="000000"/>
          <w:sz w:val="24"/>
          <w:szCs w:val="24"/>
        </w:rPr>
        <w:t xml:space="preserve">podlega corocznemu przeglądowi dokonywanemu przez </w:t>
      </w:r>
      <w:bookmarkStart w:id="10" w:name="_GoBack"/>
      <w:bookmarkEnd w:id="10"/>
      <w:r w:rsidR="008E02BE" w:rsidRPr="00C9724A">
        <w:rPr>
          <w:color w:val="000000"/>
          <w:sz w:val="24"/>
          <w:szCs w:val="24"/>
        </w:rPr>
        <w:t>Stanowisko ds. zgodności.</w:t>
      </w:r>
    </w:p>
    <w:p w:rsidR="008E02BE" w:rsidRPr="00C9724A" w:rsidRDefault="008E02BE" w:rsidP="002F6062">
      <w:pPr>
        <w:pStyle w:val="Akapitzlist"/>
        <w:numPr>
          <w:ilvl w:val="0"/>
          <w:numId w:val="27"/>
        </w:numPr>
        <w:ind w:left="284" w:hanging="284"/>
        <w:contextualSpacing/>
        <w:rPr>
          <w:color w:val="000000"/>
          <w:sz w:val="24"/>
          <w:szCs w:val="24"/>
        </w:rPr>
      </w:pPr>
      <w:r w:rsidRPr="00C9724A">
        <w:rPr>
          <w:color w:val="000000"/>
          <w:sz w:val="24"/>
          <w:szCs w:val="24"/>
        </w:rPr>
        <w:t>Niniejsza Polityka wchodzi w życie po zatwierdzeniu przez Radę Nadzorczą.</w:t>
      </w:r>
    </w:p>
    <w:p w:rsidR="00D7081C" w:rsidRPr="00534FB5" w:rsidRDefault="00D7081C" w:rsidP="00D7081C">
      <w:pPr>
        <w:pStyle w:val="Akapitzlist"/>
        <w:ind w:left="284"/>
        <w:contextualSpacing/>
        <w:rPr>
          <w:color w:val="000000"/>
          <w:sz w:val="24"/>
          <w:szCs w:val="24"/>
        </w:rPr>
      </w:pPr>
    </w:p>
    <w:p w:rsidR="00B27052" w:rsidRPr="001D15CB" w:rsidRDefault="00B27052" w:rsidP="001D15CB">
      <w:pPr>
        <w:contextualSpacing/>
        <w:rPr>
          <w:color w:val="000000"/>
          <w:sz w:val="24"/>
          <w:szCs w:val="24"/>
        </w:rPr>
      </w:pPr>
    </w:p>
    <w:p w:rsidR="00B27052" w:rsidRPr="00201537" w:rsidRDefault="00B27052" w:rsidP="00B2705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27052" w:rsidRPr="00201537" w:rsidRDefault="00B27052" w:rsidP="00B27052">
      <w:pPr>
        <w:rPr>
          <w:sz w:val="24"/>
          <w:szCs w:val="24"/>
        </w:rPr>
      </w:pPr>
      <w:r w:rsidRPr="00201537">
        <w:rPr>
          <w:sz w:val="24"/>
          <w:szCs w:val="24"/>
        </w:rPr>
        <w:t xml:space="preserve"> </w:t>
      </w:r>
    </w:p>
    <w:p w:rsidR="002F5D99" w:rsidRPr="00686CA4" w:rsidRDefault="002F5D99" w:rsidP="002016B4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sectPr w:rsidR="002F5D99" w:rsidRPr="00686CA4" w:rsidSect="00880A24">
      <w:footerReference w:type="default" r:id="rId7"/>
      <w:pgSz w:w="11906" w:h="16838"/>
      <w:pgMar w:top="1276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899" w:rsidRDefault="00CB6899" w:rsidP="00880A24">
      <w:r>
        <w:separator/>
      </w:r>
    </w:p>
  </w:endnote>
  <w:endnote w:type="continuationSeparator" w:id="0">
    <w:p w:rsidR="00CB6899" w:rsidRDefault="00CB6899" w:rsidP="00880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590956"/>
      <w:docPartObj>
        <w:docPartGallery w:val="Page Numbers (Bottom of Page)"/>
        <w:docPartUnique/>
      </w:docPartObj>
    </w:sdtPr>
    <w:sdtContent>
      <w:p w:rsidR="008E02BE" w:rsidRDefault="00F02EF5">
        <w:pPr>
          <w:pStyle w:val="Stopka"/>
          <w:jc w:val="right"/>
        </w:pPr>
        <w:r>
          <w:fldChar w:fldCharType="begin"/>
        </w:r>
        <w:r w:rsidR="008E02BE" w:rsidRPr="00880A24">
          <w:instrText>PAGE   \* MERGEFORMAT</w:instrText>
        </w:r>
        <w:r>
          <w:fldChar w:fldCharType="separate"/>
        </w:r>
        <w:r w:rsidR="00C9724A">
          <w:rPr>
            <w:noProof/>
          </w:rPr>
          <w:t>9</w:t>
        </w:r>
        <w:r>
          <w:fldChar w:fldCharType="end"/>
        </w:r>
      </w:p>
    </w:sdtContent>
  </w:sdt>
  <w:p w:rsidR="008E02BE" w:rsidRDefault="008E02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899" w:rsidRDefault="00CB6899" w:rsidP="00880A24">
      <w:r>
        <w:separator/>
      </w:r>
    </w:p>
  </w:footnote>
  <w:footnote w:type="continuationSeparator" w:id="0">
    <w:p w:rsidR="00CB6899" w:rsidRDefault="00CB6899" w:rsidP="00880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B29"/>
    <w:multiLevelType w:val="hybridMultilevel"/>
    <w:tmpl w:val="817E5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6FD4"/>
    <w:multiLevelType w:val="hybridMultilevel"/>
    <w:tmpl w:val="E0C808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B3692"/>
    <w:multiLevelType w:val="hybridMultilevel"/>
    <w:tmpl w:val="72E43336"/>
    <w:lvl w:ilvl="0" w:tplc="03AE714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36244"/>
    <w:multiLevelType w:val="hybridMultilevel"/>
    <w:tmpl w:val="9828DFA8"/>
    <w:lvl w:ilvl="0" w:tplc="249A73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EC2CA8"/>
    <w:multiLevelType w:val="hybridMultilevel"/>
    <w:tmpl w:val="1DDCE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970A3"/>
    <w:multiLevelType w:val="hybridMultilevel"/>
    <w:tmpl w:val="79AE85D2"/>
    <w:lvl w:ilvl="0" w:tplc="3CC01A1E">
      <w:start w:val="1"/>
      <w:numFmt w:val="upperRoman"/>
      <w:pStyle w:val="ROZDZIACharCha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80730"/>
    <w:multiLevelType w:val="hybridMultilevel"/>
    <w:tmpl w:val="F44ED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F5FCE"/>
    <w:multiLevelType w:val="hybridMultilevel"/>
    <w:tmpl w:val="6C3A8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100"/>
    <w:multiLevelType w:val="hybridMultilevel"/>
    <w:tmpl w:val="2A6E2E72"/>
    <w:lvl w:ilvl="0" w:tplc="D76CD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BA2F26"/>
    <w:multiLevelType w:val="hybridMultilevel"/>
    <w:tmpl w:val="981A92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243EC"/>
    <w:multiLevelType w:val="hybridMultilevel"/>
    <w:tmpl w:val="CB701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2497F"/>
    <w:multiLevelType w:val="hybridMultilevel"/>
    <w:tmpl w:val="CB4CD786"/>
    <w:lvl w:ilvl="0" w:tplc="C4F0DD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EC697F"/>
    <w:multiLevelType w:val="hybridMultilevel"/>
    <w:tmpl w:val="F0C44F3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99006DE"/>
    <w:multiLevelType w:val="hybridMultilevel"/>
    <w:tmpl w:val="31C23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5698B"/>
    <w:multiLevelType w:val="hybridMultilevel"/>
    <w:tmpl w:val="8A56A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772C1"/>
    <w:multiLevelType w:val="hybridMultilevel"/>
    <w:tmpl w:val="62C47D8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F667E61"/>
    <w:multiLevelType w:val="hybridMultilevel"/>
    <w:tmpl w:val="8B6C53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0257F"/>
    <w:multiLevelType w:val="multilevel"/>
    <w:tmpl w:val="20DE333C"/>
    <w:lvl w:ilvl="0">
      <w:start w:val="1"/>
      <w:numFmt w:val="decimal"/>
      <w:pStyle w:val="Akapitpodstawowy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kapit-ab"/>
      <w:lvlText w:val="%3) 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pStyle w:val="Akapitii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akapit112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0BA600D"/>
    <w:multiLevelType w:val="hybridMultilevel"/>
    <w:tmpl w:val="7A581BE2"/>
    <w:lvl w:ilvl="0" w:tplc="EFB203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C02D2"/>
    <w:multiLevelType w:val="hybridMultilevel"/>
    <w:tmpl w:val="D362CF6C"/>
    <w:lvl w:ilvl="0" w:tplc="1F72A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C5318"/>
    <w:multiLevelType w:val="hybridMultilevel"/>
    <w:tmpl w:val="59A6C9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547660F"/>
    <w:multiLevelType w:val="hybridMultilevel"/>
    <w:tmpl w:val="3A4E3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563817"/>
    <w:multiLevelType w:val="hybridMultilevel"/>
    <w:tmpl w:val="36BE90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724184"/>
    <w:multiLevelType w:val="hybridMultilevel"/>
    <w:tmpl w:val="69DA3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2312C"/>
    <w:multiLevelType w:val="hybridMultilevel"/>
    <w:tmpl w:val="2CDC3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B7879"/>
    <w:multiLevelType w:val="hybridMultilevel"/>
    <w:tmpl w:val="0F243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47546"/>
    <w:multiLevelType w:val="hybridMultilevel"/>
    <w:tmpl w:val="6CE4DD92"/>
    <w:lvl w:ilvl="0" w:tplc="D6540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4A009C"/>
    <w:multiLevelType w:val="hybridMultilevel"/>
    <w:tmpl w:val="DFD2308C"/>
    <w:lvl w:ilvl="0" w:tplc="A9383B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E1054"/>
    <w:multiLevelType w:val="hybridMultilevel"/>
    <w:tmpl w:val="1A1AC5D4"/>
    <w:lvl w:ilvl="0" w:tplc="13AE4E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F3D53"/>
    <w:multiLevelType w:val="hybridMultilevel"/>
    <w:tmpl w:val="2A2099C0"/>
    <w:lvl w:ilvl="0" w:tplc="318AD5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4139E"/>
    <w:multiLevelType w:val="hybridMultilevel"/>
    <w:tmpl w:val="915A90DC"/>
    <w:lvl w:ilvl="0" w:tplc="B91CF61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C94094D"/>
    <w:multiLevelType w:val="hybridMultilevel"/>
    <w:tmpl w:val="EB3E5228"/>
    <w:lvl w:ilvl="0" w:tplc="27D22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51EE4"/>
    <w:multiLevelType w:val="hybridMultilevel"/>
    <w:tmpl w:val="535C7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7"/>
  </w:num>
  <w:num w:numId="4">
    <w:abstractNumId w:val="26"/>
  </w:num>
  <w:num w:numId="5">
    <w:abstractNumId w:val="24"/>
  </w:num>
  <w:num w:numId="6">
    <w:abstractNumId w:val="1"/>
  </w:num>
  <w:num w:numId="7">
    <w:abstractNumId w:val="5"/>
  </w:num>
  <w:num w:numId="8">
    <w:abstractNumId w:val="17"/>
  </w:num>
  <w:num w:numId="9">
    <w:abstractNumId w:val="10"/>
  </w:num>
  <w:num w:numId="10">
    <w:abstractNumId w:val="9"/>
  </w:num>
  <w:num w:numId="11">
    <w:abstractNumId w:val="2"/>
  </w:num>
  <w:num w:numId="12">
    <w:abstractNumId w:val="18"/>
  </w:num>
  <w:num w:numId="13">
    <w:abstractNumId w:val="21"/>
  </w:num>
  <w:num w:numId="14">
    <w:abstractNumId w:val="32"/>
  </w:num>
  <w:num w:numId="15">
    <w:abstractNumId w:val="30"/>
  </w:num>
  <w:num w:numId="16">
    <w:abstractNumId w:val="29"/>
  </w:num>
  <w:num w:numId="17">
    <w:abstractNumId w:val="14"/>
  </w:num>
  <w:num w:numId="18">
    <w:abstractNumId w:val="8"/>
  </w:num>
  <w:num w:numId="19">
    <w:abstractNumId w:val="13"/>
  </w:num>
  <w:num w:numId="20">
    <w:abstractNumId w:val="6"/>
  </w:num>
  <w:num w:numId="21">
    <w:abstractNumId w:val="0"/>
  </w:num>
  <w:num w:numId="22">
    <w:abstractNumId w:val="23"/>
  </w:num>
  <w:num w:numId="23">
    <w:abstractNumId w:val="20"/>
  </w:num>
  <w:num w:numId="24">
    <w:abstractNumId w:val="19"/>
  </w:num>
  <w:num w:numId="25">
    <w:abstractNumId w:val="28"/>
  </w:num>
  <w:num w:numId="26">
    <w:abstractNumId w:val="31"/>
  </w:num>
  <w:num w:numId="27">
    <w:abstractNumId w:val="12"/>
  </w:num>
  <w:num w:numId="28">
    <w:abstractNumId w:val="11"/>
  </w:num>
  <w:num w:numId="29">
    <w:abstractNumId w:val="16"/>
  </w:num>
  <w:num w:numId="30">
    <w:abstractNumId w:val="25"/>
  </w:num>
  <w:num w:numId="31">
    <w:abstractNumId w:val="22"/>
  </w:num>
  <w:num w:numId="32">
    <w:abstractNumId w:val="3"/>
  </w:num>
  <w:num w:numId="33">
    <w:abstractNumId w:val="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85F"/>
    <w:rsid w:val="000026D4"/>
    <w:rsid w:val="00013706"/>
    <w:rsid w:val="0002147F"/>
    <w:rsid w:val="0004210A"/>
    <w:rsid w:val="00052C7C"/>
    <w:rsid w:val="00074E30"/>
    <w:rsid w:val="000821E7"/>
    <w:rsid w:val="000B521A"/>
    <w:rsid w:val="000B6479"/>
    <w:rsid w:val="000C08AC"/>
    <w:rsid w:val="000C7305"/>
    <w:rsid w:val="000D25CD"/>
    <w:rsid w:val="000D3BCD"/>
    <w:rsid w:val="001052C3"/>
    <w:rsid w:val="001054D3"/>
    <w:rsid w:val="00132DE5"/>
    <w:rsid w:val="0014691C"/>
    <w:rsid w:val="00150AB3"/>
    <w:rsid w:val="00163E7D"/>
    <w:rsid w:val="001650CB"/>
    <w:rsid w:val="0017350F"/>
    <w:rsid w:val="001735AA"/>
    <w:rsid w:val="00173B76"/>
    <w:rsid w:val="001A1323"/>
    <w:rsid w:val="001A1525"/>
    <w:rsid w:val="001B0BD9"/>
    <w:rsid w:val="001B2B37"/>
    <w:rsid w:val="001C4FC3"/>
    <w:rsid w:val="001D15CB"/>
    <w:rsid w:val="001D2449"/>
    <w:rsid w:val="001E7BE9"/>
    <w:rsid w:val="002016B4"/>
    <w:rsid w:val="00202404"/>
    <w:rsid w:val="0022141E"/>
    <w:rsid w:val="0024381A"/>
    <w:rsid w:val="002467BC"/>
    <w:rsid w:val="00262618"/>
    <w:rsid w:val="002669F1"/>
    <w:rsid w:val="00280EE2"/>
    <w:rsid w:val="002D3303"/>
    <w:rsid w:val="002E5809"/>
    <w:rsid w:val="002F58CF"/>
    <w:rsid w:val="002F5D99"/>
    <w:rsid w:val="002F6062"/>
    <w:rsid w:val="00360903"/>
    <w:rsid w:val="00364980"/>
    <w:rsid w:val="00385CDF"/>
    <w:rsid w:val="00421CE9"/>
    <w:rsid w:val="00430D0F"/>
    <w:rsid w:val="00436E06"/>
    <w:rsid w:val="00445E1C"/>
    <w:rsid w:val="00450DED"/>
    <w:rsid w:val="00456188"/>
    <w:rsid w:val="00473E6C"/>
    <w:rsid w:val="0049551E"/>
    <w:rsid w:val="00496352"/>
    <w:rsid w:val="004C6914"/>
    <w:rsid w:val="0050149B"/>
    <w:rsid w:val="0050280A"/>
    <w:rsid w:val="00512411"/>
    <w:rsid w:val="005812F9"/>
    <w:rsid w:val="00584E1D"/>
    <w:rsid w:val="0059748A"/>
    <w:rsid w:val="005B7726"/>
    <w:rsid w:val="005E5BB5"/>
    <w:rsid w:val="005F7483"/>
    <w:rsid w:val="00603192"/>
    <w:rsid w:val="006307F7"/>
    <w:rsid w:val="006568BF"/>
    <w:rsid w:val="00682799"/>
    <w:rsid w:val="00686CA4"/>
    <w:rsid w:val="00694E24"/>
    <w:rsid w:val="006A628E"/>
    <w:rsid w:val="0072218B"/>
    <w:rsid w:val="00772624"/>
    <w:rsid w:val="007770A6"/>
    <w:rsid w:val="00787D55"/>
    <w:rsid w:val="007936E0"/>
    <w:rsid w:val="00795A85"/>
    <w:rsid w:val="007C0C8C"/>
    <w:rsid w:val="007D32AB"/>
    <w:rsid w:val="007F5DA1"/>
    <w:rsid w:val="007F6BB0"/>
    <w:rsid w:val="008045A0"/>
    <w:rsid w:val="008137B2"/>
    <w:rsid w:val="00822508"/>
    <w:rsid w:val="00866D5A"/>
    <w:rsid w:val="00880A24"/>
    <w:rsid w:val="00890FB5"/>
    <w:rsid w:val="008B35DB"/>
    <w:rsid w:val="008C63C3"/>
    <w:rsid w:val="008E02BE"/>
    <w:rsid w:val="008E3244"/>
    <w:rsid w:val="00907660"/>
    <w:rsid w:val="00937927"/>
    <w:rsid w:val="00946E7C"/>
    <w:rsid w:val="00946EA2"/>
    <w:rsid w:val="0095679F"/>
    <w:rsid w:val="00994C06"/>
    <w:rsid w:val="009A34D3"/>
    <w:rsid w:val="009C3CE6"/>
    <w:rsid w:val="009D2840"/>
    <w:rsid w:val="009F31F3"/>
    <w:rsid w:val="009F33AC"/>
    <w:rsid w:val="009F5D71"/>
    <w:rsid w:val="00A37A98"/>
    <w:rsid w:val="00A64595"/>
    <w:rsid w:val="00A818A0"/>
    <w:rsid w:val="00A90E95"/>
    <w:rsid w:val="00AB5282"/>
    <w:rsid w:val="00AE382A"/>
    <w:rsid w:val="00B0336D"/>
    <w:rsid w:val="00B12BB3"/>
    <w:rsid w:val="00B2439D"/>
    <w:rsid w:val="00B26694"/>
    <w:rsid w:val="00B27052"/>
    <w:rsid w:val="00B27570"/>
    <w:rsid w:val="00B31CC9"/>
    <w:rsid w:val="00B35949"/>
    <w:rsid w:val="00B37719"/>
    <w:rsid w:val="00B45397"/>
    <w:rsid w:val="00B72157"/>
    <w:rsid w:val="00B936CA"/>
    <w:rsid w:val="00BA6427"/>
    <w:rsid w:val="00BD60D1"/>
    <w:rsid w:val="00BE166B"/>
    <w:rsid w:val="00BE517B"/>
    <w:rsid w:val="00BF2AD6"/>
    <w:rsid w:val="00BF5D0A"/>
    <w:rsid w:val="00C15079"/>
    <w:rsid w:val="00C20867"/>
    <w:rsid w:val="00C22A76"/>
    <w:rsid w:val="00C647C7"/>
    <w:rsid w:val="00C6715F"/>
    <w:rsid w:val="00C801AE"/>
    <w:rsid w:val="00C81C9F"/>
    <w:rsid w:val="00C9724A"/>
    <w:rsid w:val="00CB14AB"/>
    <w:rsid w:val="00CB6899"/>
    <w:rsid w:val="00CC0C2B"/>
    <w:rsid w:val="00CC476F"/>
    <w:rsid w:val="00CD69F2"/>
    <w:rsid w:val="00CF34E6"/>
    <w:rsid w:val="00CF672D"/>
    <w:rsid w:val="00D024FF"/>
    <w:rsid w:val="00D25F38"/>
    <w:rsid w:val="00D266B4"/>
    <w:rsid w:val="00D2684F"/>
    <w:rsid w:val="00D30A82"/>
    <w:rsid w:val="00D6056E"/>
    <w:rsid w:val="00D7081C"/>
    <w:rsid w:val="00D7385F"/>
    <w:rsid w:val="00D74D3D"/>
    <w:rsid w:val="00D80936"/>
    <w:rsid w:val="00D92E64"/>
    <w:rsid w:val="00DA0A33"/>
    <w:rsid w:val="00DB5FC0"/>
    <w:rsid w:val="00DC2AE2"/>
    <w:rsid w:val="00DC41A6"/>
    <w:rsid w:val="00DC5D9C"/>
    <w:rsid w:val="00DC66C5"/>
    <w:rsid w:val="00E024F7"/>
    <w:rsid w:val="00E4501A"/>
    <w:rsid w:val="00E6248F"/>
    <w:rsid w:val="00E74A00"/>
    <w:rsid w:val="00E77043"/>
    <w:rsid w:val="00E85EBF"/>
    <w:rsid w:val="00E94C17"/>
    <w:rsid w:val="00E94DA5"/>
    <w:rsid w:val="00E96DA6"/>
    <w:rsid w:val="00EA19F9"/>
    <w:rsid w:val="00EA6B9F"/>
    <w:rsid w:val="00ED0C8F"/>
    <w:rsid w:val="00F02EF5"/>
    <w:rsid w:val="00F04E86"/>
    <w:rsid w:val="00F07DB1"/>
    <w:rsid w:val="00F44CA4"/>
    <w:rsid w:val="00F56F5A"/>
    <w:rsid w:val="00F9058A"/>
    <w:rsid w:val="00FB7725"/>
    <w:rsid w:val="00FC226D"/>
    <w:rsid w:val="00FD4B4F"/>
    <w:rsid w:val="00FE5614"/>
    <w:rsid w:val="00FE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16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16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16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16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E166B"/>
    <w:pPr>
      <w:keepNext/>
      <w:spacing w:before="120" w:after="120"/>
      <w:outlineLvl w:val="4"/>
    </w:pPr>
    <w:rPr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166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166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E166B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E166B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E166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E166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E166B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E166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E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E166B"/>
    <w:pPr>
      <w:ind w:left="708"/>
    </w:pPr>
  </w:style>
  <w:style w:type="paragraph" w:customStyle="1" w:styleId="Default">
    <w:name w:val="Default"/>
    <w:rsid w:val="00AB5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80A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A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A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568BF"/>
    <w:pPr>
      <w:spacing w:after="120"/>
      <w:ind w:left="566" w:hanging="283"/>
      <w:jc w:val="both"/>
    </w:pPr>
    <w:rPr>
      <w:sz w:val="24"/>
      <w:szCs w:val="24"/>
    </w:rPr>
  </w:style>
  <w:style w:type="paragraph" w:customStyle="1" w:styleId="ROZDZIACharChar">
    <w:name w:val="ROZDZIAŁ Char Char"/>
    <w:basedOn w:val="Normalny"/>
    <w:link w:val="ROZDZIACharCharChar"/>
    <w:rsid w:val="006568BF"/>
    <w:pPr>
      <w:numPr>
        <w:numId w:val="7"/>
      </w:numPr>
      <w:spacing w:after="120" w:line="360" w:lineRule="auto"/>
      <w:jc w:val="center"/>
    </w:pPr>
    <w:rPr>
      <w:b/>
      <w:sz w:val="24"/>
      <w:szCs w:val="24"/>
      <w:lang w:val="en-US"/>
    </w:rPr>
  </w:style>
  <w:style w:type="character" w:customStyle="1" w:styleId="ROZDZIACharCharChar">
    <w:name w:val="ROZDZIAŁ Char Char Char"/>
    <w:link w:val="ROZDZIACharChar"/>
    <w:rsid w:val="006568BF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styleId="Spistreci1">
    <w:name w:val="toc 1"/>
    <w:basedOn w:val="Normalny"/>
    <w:next w:val="Normalny"/>
    <w:autoRedefine/>
    <w:uiPriority w:val="39"/>
    <w:rsid w:val="006568BF"/>
    <w:pPr>
      <w:spacing w:before="120" w:after="120"/>
    </w:pPr>
    <w:rPr>
      <w:rFonts w:ascii="Calibri" w:hAnsi="Calibri"/>
      <w:b/>
      <w:bCs/>
      <w:caps/>
    </w:rPr>
  </w:style>
  <w:style w:type="character" w:styleId="Hipercze">
    <w:name w:val="Hyperlink"/>
    <w:uiPriority w:val="99"/>
    <w:unhideWhenUsed/>
    <w:rsid w:val="006568BF"/>
    <w:rPr>
      <w:color w:val="0000FF"/>
      <w:u w:val="single"/>
    </w:rPr>
  </w:style>
  <w:style w:type="paragraph" w:customStyle="1" w:styleId="Akapitpodstawowy">
    <w:name w:val="Akapit podstawowy"/>
    <w:basedOn w:val="Tekstpodstawowywcity2"/>
    <w:qFormat/>
    <w:rsid w:val="006568BF"/>
    <w:pPr>
      <w:numPr>
        <w:numId w:val="8"/>
      </w:numPr>
      <w:tabs>
        <w:tab w:val="clear" w:pos="720"/>
      </w:tabs>
      <w:spacing w:line="240" w:lineRule="auto"/>
      <w:jc w:val="both"/>
    </w:pPr>
    <w:rPr>
      <w:sz w:val="24"/>
      <w:szCs w:val="24"/>
    </w:rPr>
  </w:style>
  <w:style w:type="paragraph" w:customStyle="1" w:styleId="Akapit-ab">
    <w:name w:val="Akapit - ab"/>
    <w:basedOn w:val="Normalny"/>
    <w:qFormat/>
    <w:rsid w:val="006568BF"/>
    <w:pPr>
      <w:numPr>
        <w:ilvl w:val="2"/>
        <w:numId w:val="8"/>
      </w:numPr>
      <w:jc w:val="both"/>
    </w:pPr>
    <w:rPr>
      <w:sz w:val="24"/>
      <w:szCs w:val="24"/>
    </w:rPr>
  </w:style>
  <w:style w:type="paragraph" w:customStyle="1" w:styleId="Akapitii">
    <w:name w:val="Akapit ii"/>
    <w:basedOn w:val="Akapit-ab"/>
    <w:qFormat/>
    <w:rsid w:val="006568BF"/>
    <w:pPr>
      <w:numPr>
        <w:ilvl w:val="3"/>
      </w:numPr>
    </w:pPr>
  </w:style>
  <w:style w:type="paragraph" w:customStyle="1" w:styleId="akapit112">
    <w:name w:val="akapit 112"/>
    <w:basedOn w:val="Akapitii"/>
    <w:qFormat/>
    <w:rsid w:val="006568BF"/>
    <w:pPr>
      <w:numPr>
        <w:ilvl w:val="4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568B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568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2684F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268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A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A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A82"/>
    <w:rPr>
      <w:vertAlign w:val="superscript"/>
    </w:rPr>
  </w:style>
  <w:style w:type="character" w:customStyle="1" w:styleId="Bodytext">
    <w:name w:val="Body text_"/>
    <w:link w:val="Tekstpodstawowy1"/>
    <w:rsid w:val="004963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96352"/>
    <w:pPr>
      <w:widowControl w:val="0"/>
      <w:shd w:val="clear" w:color="auto" w:fill="FFFFFF"/>
      <w:spacing w:after="600" w:line="0" w:lineRule="atLeast"/>
      <w:ind w:hanging="560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11</Pages>
  <Words>3470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ab2</cp:lastModifiedBy>
  <cp:revision>4</cp:revision>
  <cp:lastPrinted>2022-02-07T13:05:00Z</cp:lastPrinted>
  <dcterms:created xsi:type="dcterms:W3CDTF">2022-01-27T13:55:00Z</dcterms:created>
  <dcterms:modified xsi:type="dcterms:W3CDTF">2022-02-14T08:53:00Z</dcterms:modified>
</cp:coreProperties>
</file>